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5F309" w14:textId="6E21CB06" w:rsidR="00F231F3" w:rsidRPr="00852AD5" w:rsidRDefault="00F231F3" w:rsidP="00DA2425">
      <w:pPr>
        <w:tabs>
          <w:tab w:val="num" w:pos="720"/>
        </w:tabs>
        <w:spacing w:before="100" w:beforeAutospacing="1" w:after="100" w:afterAutospacing="1"/>
        <w:ind w:left="720" w:hanging="360"/>
        <w:rPr>
          <w:rFonts w:asciiTheme="majorBidi" w:hAnsiTheme="majorBidi" w:cstheme="majorBidi"/>
        </w:rPr>
      </w:pPr>
    </w:p>
    <w:p w14:paraId="758814E0" w14:textId="77777777" w:rsidR="00AA7312" w:rsidRDefault="00AA7312" w:rsidP="002423A6">
      <w:pPr>
        <w:tabs>
          <w:tab w:val="num" w:pos="720"/>
        </w:tabs>
        <w:ind w:left="720" w:hanging="360"/>
        <w:jc w:val="center"/>
        <w:rPr>
          <w:rFonts w:asciiTheme="majorBidi" w:hAnsiTheme="majorBidi" w:cstheme="majorBidi"/>
          <w:b/>
          <w:bCs/>
          <w:sz w:val="32"/>
          <w:szCs w:val="32"/>
        </w:rPr>
      </w:pPr>
    </w:p>
    <w:p w14:paraId="38E15273" w14:textId="4652C0FE" w:rsidR="000C51C5" w:rsidRDefault="00B96EE1" w:rsidP="000C51C5">
      <w:pPr>
        <w:tabs>
          <w:tab w:val="num" w:pos="720"/>
        </w:tabs>
        <w:ind w:left="720" w:hanging="360"/>
        <w:jc w:val="center"/>
        <w:rPr>
          <w:rFonts w:asciiTheme="majorBidi" w:hAnsiTheme="majorBidi" w:cstheme="majorBidi"/>
          <w:b/>
          <w:bCs/>
          <w:sz w:val="32"/>
          <w:szCs w:val="32"/>
        </w:rPr>
      </w:pPr>
      <w:r>
        <w:rPr>
          <w:rFonts w:asciiTheme="majorBidi" w:hAnsiTheme="majorBidi" w:cstheme="majorBidi"/>
          <w:b/>
          <w:bCs/>
          <w:sz w:val="32"/>
          <w:szCs w:val="32"/>
        </w:rPr>
        <w:t>MS</w:t>
      </w:r>
      <w:r w:rsidR="000C51C5">
        <w:rPr>
          <w:rFonts w:asciiTheme="majorBidi" w:hAnsiTheme="majorBidi" w:cstheme="majorBidi"/>
          <w:b/>
          <w:bCs/>
          <w:sz w:val="32"/>
          <w:szCs w:val="32"/>
        </w:rPr>
        <w:t>ISP 385</w:t>
      </w:r>
    </w:p>
    <w:p w14:paraId="3724DBB9" w14:textId="0D78F48F" w:rsidR="000C51C5" w:rsidRDefault="000C51C5" w:rsidP="000C51C5">
      <w:pPr>
        <w:tabs>
          <w:tab w:val="num" w:pos="720"/>
        </w:tabs>
        <w:ind w:left="720" w:hanging="360"/>
        <w:jc w:val="center"/>
        <w:rPr>
          <w:rFonts w:asciiTheme="majorBidi" w:hAnsiTheme="majorBidi" w:cstheme="majorBidi"/>
          <w:b/>
          <w:bCs/>
          <w:sz w:val="32"/>
          <w:szCs w:val="32"/>
        </w:rPr>
      </w:pPr>
      <w:r>
        <w:rPr>
          <w:rFonts w:asciiTheme="majorBidi" w:hAnsiTheme="majorBidi" w:cstheme="majorBidi"/>
          <w:b/>
          <w:bCs/>
          <w:sz w:val="32"/>
          <w:szCs w:val="32"/>
        </w:rPr>
        <w:t>Information Risk and Benefit Analysis</w:t>
      </w:r>
      <w:r w:rsidR="00701B44">
        <w:rPr>
          <w:rFonts w:asciiTheme="majorBidi" w:hAnsiTheme="majorBidi" w:cstheme="majorBidi"/>
          <w:b/>
          <w:bCs/>
          <w:sz w:val="32"/>
          <w:szCs w:val="32"/>
        </w:rPr>
        <w:t>, Fall 2022</w:t>
      </w:r>
    </w:p>
    <w:p w14:paraId="744ABD1B" w14:textId="0DB8EE9A" w:rsidR="00701B44" w:rsidRPr="009E2A45" w:rsidRDefault="00701B44" w:rsidP="009E2A45">
      <w:pPr>
        <w:tabs>
          <w:tab w:val="num" w:pos="720"/>
        </w:tabs>
        <w:ind w:left="720" w:hanging="360"/>
        <w:jc w:val="center"/>
        <w:rPr>
          <w:rFonts w:asciiTheme="majorBidi" w:hAnsiTheme="majorBidi" w:cstheme="majorBidi"/>
          <w:b/>
          <w:bCs/>
          <w:sz w:val="28"/>
          <w:szCs w:val="28"/>
        </w:rPr>
      </w:pPr>
      <w:r w:rsidRPr="00701B44">
        <w:rPr>
          <w:rFonts w:asciiTheme="majorBidi" w:hAnsiTheme="majorBidi" w:cstheme="majorBidi"/>
          <w:b/>
          <w:bCs/>
          <w:sz w:val="28"/>
          <w:szCs w:val="28"/>
        </w:rPr>
        <w:t>Thompson Conference Center (TCC) Room 3.110</w:t>
      </w:r>
    </w:p>
    <w:p w14:paraId="1C0E08CC" w14:textId="77777777" w:rsidR="000C51C5" w:rsidRPr="000A5199" w:rsidRDefault="000C51C5" w:rsidP="000C51C5">
      <w:pPr>
        <w:tabs>
          <w:tab w:val="num" w:pos="720"/>
        </w:tabs>
        <w:ind w:left="720" w:hanging="360"/>
        <w:jc w:val="center"/>
        <w:rPr>
          <w:rFonts w:asciiTheme="majorBidi" w:hAnsiTheme="majorBidi" w:cstheme="majorBidi"/>
          <w:b/>
          <w:bCs/>
        </w:rPr>
      </w:pPr>
      <w:r w:rsidRPr="000A5199">
        <w:rPr>
          <w:rFonts w:asciiTheme="majorBidi" w:hAnsiTheme="majorBidi" w:cstheme="majorBidi"/>
          <w:b/>
          <w:bCs/>
        </w:rPr>
        <w:t>Instructional Mode: Hybrid</w:t>
      </w:r>
    </w:p>
    <w:p w14:paraId="6174439D" w14:textId="77777777" w:rsidR="000C51C5" w:rsidRPr="000A5199" w:rsidRDefault="000C51C5" w:rsidP="000C51C5">
      <w:pPr>
        <w:tabs>
          <w:tab w:val="num" w:pos="720"/>
        </w:tabs>
        <w:ind w:left="720" w:hanging="360"/>
        <w:rPr>
          <w:rFonts w:asciiTheme="majorBidi" w:hAnsiTheme="majorBidi" w:cstheme="majorBidi"/>
        </w:rPr>
      </w:pPr>
    </w:p>
    <w:p w14:paraId="4452BF24" w14:textId="77777777" w:rsidR="000C51C5" w:rsidRPr="000A5199" w:rsidRDefault="000C51C5" w:rsidP="000C51C5">
      <w:pPr>
        <w:pStyle w:val="Heading1"/>
      </w:pPr>
      <w:r w:rsidRPr="000A5199">
        <w:t>Instructor</w:t>
      </w:r>
      <w:r>
        <w:t>s</w:t>
      </w:r>
      <w:r w:rsidRPr="000A5199">
        <w:t xml:space="preserve">: </w:t>
      </w:r>
    </w:p>
    <w:p w14:paraId="357BB181" w14:textId="77777777" w:rsidR="000C51C5" w:rsidRPr="006C1142" w:rsidRDefault="000C51C5" w:rsidP="000C51C5">
      <w:pPr>
        <w:ind w:left="360" w:hanging="360"/>
        <w:rPr>
          <w:rFonts w:asciiTheme="majorBidi" w:hAnsiTheme="majorBidi" w:cstheme="majorBidi"/>
        </w:rPr>
      </w:pPr>
      <w:r w:rsidRPr="006C1142">
        <w:rPr>
          <w:rFonts w:asciiTheme="majorBidi" w:hAnsiTheme="majorBidi" w:cstheme="majorBidi"/>
        </w:rPr>
        <w:t xml:space="preserve">Hüseyin Tanriverdi (email: </w:t>
      </w:r>
      <w:hyperlink r:id="rId7" w:history="1">
        <w:r w:rsidRPr="006C1142">
          <w:rPr>
            <w:rStyle w:val="Hyperlink"/>
            <w:rFonts w:asciiTheme="majorBidi" w:hAnsiTheme="majorBidi" w:cstheme="majorBidi"/>
          </w:rPr>
          <w:t>Huseyin.Tanriverdi@mccombs.utexas.edu</w:t>
        </w:r>
      </w:hyperlink>
      <w:r w:rsidRPr="006C1142">
        <w:rPr>
          <w:rFonts w:asciiTheme="majorBidi" w:hAnsiTheme="majorBidi" w:cstheme="majorBidi"/>
        </w:rPr>
        <w:t>; phone: 512-232-9164)</w:t>
      </w:r>
    </w:p>
    <w:p w14:paraId="65556B24" w14:textId="77777777" w:rsidR="000C51C5" w:rsidRPr="006C1142" w:rsidRDefault="000C51C5" w:rsidP="000C51C5">
      <w:pPr>
        <w:ind w:left="360" w:hanging="360"/>
        <w:rPr>
          <w:rFonts w:asciiTheme="majorBidi" w:hAnsiTheme="majorBidi" w:cstheme="majorBidi"/>
        </w:rPr>
      </w:pPr>
      <w:r w:rsidRPr="006C1142">
        <w:rPr>
          <w:rFonts w:asciiTheme="majorBidi" w:hAnsiTheme="majorBidi" w:cstheme="majorBidi"/>
        </w:rPr>
        <w:t xml:space="preserve">Ashley Hunter (email: </w:t>
      </w:r>
      <w:hyperlink r:id="rId8" w:history="1">
        <w:r w:rsidRPr="006C1142">
          <w:rPr>
            <w:rStyle w:val="Hyperlink"/>
            <w:rFonts w:asciiTheme="majorBidi" w:hAnsiTheme="majorBidi" w:cstheme="majorBidi"/>
          </w:rPr>
          <w:t>Ashley@ahunterco.com</w:t>
        </w:r>
      </w:hyperlink>
      <w:r w:rsidRPr="006C1142">
        <w:rPr>
          <w:rFonts w:asciiTheme="majorBidi" w:hAnsiTheme="majorBidi" w:cstheme="majorBidi"/>
        </w:rPr>
        <w:t>; phone: 512-827-9896)</w:t>
      </w:r>
    </w:p>
    <w:p w14:paraId="18FC36A5" w14:textId="1ABBF134" w:rsidR="000C51C5" w:rsidRPr="006C1142" w:rsidRDefault="000C51C5" w:rsidP="000C51C5">
      <w:pPr>
        <w:ind w:left="360" w:hanging="360"/>
        <w:rPr>
          <w:rFonts w:asciiTheme="majorBidi" w:hAnsiTheme="majorBidi" w:cstheme="majorBidi"/>
        </w:rPr>
      </w:pPr>
      <w:r w:rsidRPr="006C1142">
        <w:rPr>
          <w:rFonts w:asciiTheme="majorBidi" w:hAnsiTheme="majorBidi" w:cstheme="majorBidi"/>
        </w:rPr>
        <w:t xml:space="preserve">Bruce Kellison (email: </w:t>
      </w:r>
      <w:hyperlink r:id="rId9" w:history="1">
        <w:r w:rsidRPr="006C1142">
          <w:rPr>
            <w:rStyle w:val="Hyperlink"/>
            <w:rFonts w:asciiTheme="majorBidi" w:hAnsiTheme="majorBidi" w:cstheme="majorBidi"/>
          </w:rPr>
          <w:t>bkellison@ic2.utexas.edu</w:t>
        </w:r>
      </w:hyperlink>
      <w:r w:rsidRPr="006C1142">
        <w:rPr>
          <w:rFonts w:asciiTheme="majorBidi" w:hAnsiTheme="majorBidi" w:cstheme="majorBidi"/>
        </w:rPr>
        <w:t>; phone: 512-</w:t>
      </w:r>
      <w:r w:rsidR="00A27318">
        <w:rPr>
          <w:rFonts w:asciiTheme="majorBidi" w:hAnsiTheme="majorBidi" w:cstheme="majorBidi"/>
        </w:rPr>
        <w:t>475-7813</w:t>
      </w:r>
      <w:r w:rsidRPr="006C1142">
        <w:rPr>
          <w:rFonts w:asciiTheme="majorBidi" w:hAnsiTheme="majorBidi" w:cstheme="majorBidi"/>
        </w:rPr>
        <w:t>)</w:t>
      </w:r>
      <w:r w:rsidR="00725CBA">
        <w:rPr>
          <w:rFonts w:asciiTheme="majorBidi" w:hAnsiTheme="majorBidi" w:cstheme="majorBidi"/>
        </w:rPr>
        <w:t>,</w:t>
      </w:r>
      <w:r w:rsidRPr="006C1142">
        <w:rPr>
          <w:rFonts w:asciiTheme="majorBidi" w:hAnsiTheme="majorBidi" w:cstheme="majorBidi"/>
        </w:rPr>
        <w:t xml:space="preserve"> Lead Instructor</w:t>
      </w:r>
    </w:p>
    <w:p w14:paraId="542406E1" w14:textId="77777777" w:rsidR="00BD5B33" w:rsidRPr="00852AD5" w:rsidRDefault="00BD5B33" w:rsidP="00DA2425">
      <w:pPr>
        <w:tabs>
          <w:tab w:val="num" w:pos="720"/>
        </w:tabs>
        <w:ind w:left="720" w:hanging="360"/>
        <w:rPr>
          <w:rFonts w:asciiTheme="majorBidi" w:hAnsiTheme="majorBidi" w:cstheme="majorBidi"/>
        </w:rPr>
      </w:pPr>
    </w:p>
    <w:p w14:paraId="4C9DD922" w14:textId="69286460" w:rsidR="00F231F3" w:rsidRPr="00A27318" w:rsidRDefault="00F231F3" w:rsidP="00DA2425">
      <w:pPr>
        <w:ind w:left="360" w:hanging="360"/>
        <w:rPr>
          <w:rFonts w:asciiTheme="majorBidi" w:hAnsiTheme="majorBidi" w:cstheme="majorBidi"/>
          <w:b/>
          <w:bCs/>
        </w:rPr>
      </w:pPr>
      <w:r w:rsidRPr="00A27318">
        <w:rPr>
          <w:rFonts w:asciiTheme="majorBidi" w:hAnsiTheme="majorBidi" w:cstheme="majorBidi"/>
          <w:b/>
          <w:bCs/>
        </w:rPr>
        <w:t>Office Hours:</w:t>
      </w:r>
      <w:r w:rsidR="00ED198D" w:rsidRPr="00A27318">
        <w:rPr>
          <w:rFonts w:asciiTheme="majorBidi" w:hAnsiTheme="majorBidi" w:cstheme="majorBidi"/>
          <w:b/>
          <w:bCs/>
        </w:rPr>
        <w:t xml:space="preserve"> </w:t>
      </w:r>
    </w:p>
    <w:p w14:paraId="15CF8B52" w14:textId="30D89580" w:rsidR="00ED198D" w:rsidRPr="006C1142" w:rsidRDefault="00ED198D" w:rsidP="00ED198D">
      <w:pPr>
        <w:ind w:left="360" w:hanging="360"/>
        <w:rPr>
          <w:rFonts w:asciiTheme="majorBidi" w:hAnsiTheme="majorBidi" w:cstheme="majorBidi"/>
        </w:rPr>
      </w:pPr>
      <w:r w:rsidRPr="006C1142">
        <w:rPr>
          <w:rFonts w:asciiTheme="majorBidi" w:hAnsiTheme="majorBidi" w:cstheme="majorBidi"/>
        </w:rPr>
        <w:t>Hüseyin Tanriverdi (</w:t>
      </w:r>
      <w:r w:rsidR="00A20CDE">
        <w:rPr>
          <w:rFonts w:asciiTheme="majorBidi" w:hAnsiTheme="majorBidi" w:cstheme="majorBidi"/>
        </w:rPr>
        <w:t>By appointment</w:t>
      </w:r>
      <w:r w:rsidRPr="006C1142">
        <w:rPr>
          <w:rFonts w:asciiTheme="majorBidi" w:hAnsiTheme="majorBidi" w:cstheme="majorBidi"/>
        </w:rPr>
        <w:t>)</w:t>
      </w:r>
    </w:p>
    <w:p w14:paraId="562077FE" w14:textId="2F2722F3" w:rsidR="00ED198D" w:rsidRPr="006C1142" w:rsidRDefault="00ED198D" w:rsidP="00ED198D">
      <w:pPr>
        <w:ind w:left="360" w:hanging="360"/>
        <w:rPr>
          <w:rFonts w:asciiTheme="majorBidi" w:hAnsiTheme="majorBidi" w:cstheme="majorBidi"/>
        </w:rPr>
      </w:pPr>
      <w:r w:rsidRPr="006C1142">
        <w:rPr>
          <w:rFonts w:asciiTheme="majorBidi" w:hAnsiTheme="majorBidi" w:cstheme="majorBidi"/>
        </w:rPr>
        <w:t xml:space="preserve">Ashley Hunter </w:t>
      </w:r>
      <w:r>
        <w:rPr>
          <w:rFonts w:asciiTheme="majorBidi" w:hAnsiTheme="majorBidi" w:cstheme="majorBidi"/>
        </w:rPr>
        <w:t>(</w:t>
      </w:r>
      <w:r w:rsidR="00353626">
        <w:rPr>
          <w:rFonts w:asciiTheme="majorBidi" w:hAnsiTheme="majorBidi" w:cstheme="majorBidi"/>
        </w:rPr>
        <w:t>By appointment</w:t>
      </w:r>
      <w:r>
        <w:rPr>
          <w:rFonts w:asciiTheme="majorBidi" w:hAnsiTheme="majorBidi" w:cstheme="majorBidi"/>
        </w:rPr>
        <w:t>)</w:t>
      </w:r>
    </w:p>
    <w:p w14:paraId="36A835BF" w14:textId="69751B3F" w:rsidR="00ED198D" w:rsidRPr="006C1142" w:rsidRDefault="00ED198D" w:rsidP="00ED198D">
      <w:pPr>
        <w:ind w:left="360" w:hanging="360"/>
        <w:rPr>
          <w:rFonts w:asciiTheme="majorBidi" w:hAnsiTheme="majorBidi" w:cstheme="majorBidi"/>
        </w:rPr>
      </w:pPr>
      <w:r w:rsidRPr="006C1142">
        <w:rPr>
          <w:rFonts w:asciiTheme="majorBidi" w:hAnsiTheme="majorBidi" w:cstheme="majorBidi"/>
        </w:rPr>
        <w:t>Bruce Kellison (</w:t>
      </w:r>
      <w:r w:rsidR="009352BA">
        <w:rPr>
          <w:rFonts w:asciiTheme="majorBidi" w:hAnsiTheme="majorBidi" w:cstheme="majorBidi"/>
        </w:rPr>
        <w:t>T, W 4:00 – 5:30 pm or by appointment</w:t>
      </w:r>
      <w:r>
        <w:rPr>
          <w:rFonts w:asciiTheme="majorBidi" w:hAnsiTheme="majorBidi" w:cstheme="majorBidi"/>
        </w:rPr>
        <w:t xml:space="preserve">) </w:t>
      </w:r>
      <w:r w:rsidRPr="006C1142">
        <w:rPr>
          <w:rFonts w:asciiTheme="majorBidi" w:hAnsiTheme="majorBidi" w:cstheme="majorBidi"/>
        </w:rPr>
        <w:t>Lead Instructor</w:t>
      </w:r>
    </w:p>
    <w:p w14:paraId="4D9FA458" w14:textId="77777777" w:rsidR="00ED198D" w:rsidRPr="00852AD5" w:rsidRDefault="00ED198D" w:rsidP="00DA2425">
      <w:pPr>
        <w:ind w:left="360" w:hanging="360"/>
        <w:rPr>
          <w:rFonts w:asciiTheme="majorBidi" w:hAnsiTheme="majorBidi" w:cstheme="majorBidi"/>
        </w:rPr>
      </w:pPr>
    </w:p>
    <w:p w14:paraId="09FB1F12" w14:textId="13E0F105" w:rsidR="00F231F3" w:rsidRPr="00A27318" w:rsidRDefault="00F231F3" w:rsidP="00DA2425">
      <w:pPr>
        <w:ind w:left="360" w:hanging="360"/>
        <w:rPr>
          <w:rFonts w:asciiTheme="majorBidi" w:hAnsiTheme="majorBidi" w:cstheme="majorBidi"/>
          <w:b/>
          <w:bCs/>
        </w:rPr>
      </w:pPr>
      <w:r w:rsidRPr="00A27318">
        <w:rPr>
          <w:rFonts w:asciiTheme="majorBidi" w:hAnsiTheme="majorBidi" w:cstheme="majorBidi"/>
          <w:b/>
          <w:bCs/>
        </w:rPr>
        <w:t xml:space="preserve">Office Location: </w:t>
      </w:r>
    </w:p>
    <w:p w14:paraId="69B3F922" w14:textId="14855579" w:rsidR="00ED198D" w:rsidRPr="006C1142" w:rsidRDefault="00ED198D" w:rsidP="00ED198D">
      <w:pPr>
        <w:ind w:left="360" w:hanging="360"/>
        <w:rPr>
          <w:rFonts w:asciiTheme="majorBidi" w:hAnsiTheme="majorBidi" w:cstheme="majorBidi"/>
        </w:rPr>
      </w:pPr>
      <w:r w:rsidRPr="006C1142">
        <w:rPr>
          <w:rFonts w:asciiTheme="majorBidi" w:hAnsiTheme="majorBidi" w:cstheme="majorBidi"/>
        </w:rPr>
        <w:t>Hüseyin Tanriverdi (</w:t>
      </w:r>
      <w:r w:rsidR="00A27318">
        <w:rPr>
          <w:rFonts w:asciiTheme="majorBidi" w:hAnsiTheme="majorBidi" w:cstheme="majorBidi"/>
        </w:rPr>
        <w:t>CBA 5.208</w:t>
      </w:r>
      <w:r w:rsidRPr="006C1142">
        <w:rPr>
          <w:rFonts w:asciiTheme="majorBidi" w:hAnsiTheme="majorBidi" w:cstheme="majorBidi"/>
        </w:rPr>
        <w:t>)</w:t>
      </w:r>
    </w:p>
    <w:p w14:paraId="38697966" w14:textId="0829CF7B" w:rsidR="00ED198D" w:rsidRPr="006C1142" w:rsidRDefault="00ED198D" w:rsidP="00ED198D">
      <w:pPr>
        <w:ind w:left="360" w:hanging="360"/>
        <w:rPr>
          <w:rFonts w:asciiTheme="majorBidi" w:hAnsiTheme="majorBidi" w:cstheme="majorBidi"/>
        </w:rPr>
      </w:pPr>
      <w:r w:rsidRPr="006C1142">
        <w:rPr>
          <w:rFonts w:asciiTheme="majorBidi" w:hAnsiTheme="majorBidi" w:cstheme="majorBidi"/>
        </w:rPr>
        <w:t xml:space="preserve">Ashley Hunter </w:t>
      </w:r>
      <w:r>
        <w:rPr>
          <w:rFonts w:asciiTheme="majorBidi" w:hAnsiTheme="majorBidi" w:cstheme="majorBidi"/>
        </w:rPr>
        <w:t>(</w:t>
      </w:r>
      <w:r w:rsidR="00DA5695">
        <w:rPr>
          <w:rFonts w:asciiTheme="majorBidi" w:hAnsiTheme="majorBidi" w:cstheme="majorBidi"/>
        </w:rPr>
        <w:t>IC</w:t>
      </w:r>
      <w:r w:rsidR="00DA5695" w:rsidRPr="00DA5695">
        <w:rPr>
          <w:rFonts w:asciiTheme="majorBidi" w:hAnsiTheme="majorBidi" w:cstheme="majorBidi"/>
          <w:vertAlign w:val="superscript"/>
        </w:rPr>
        <w:t>2</w:t>
      </w:r>
      <w:r w:rsidR="00DA5695">
        <w:rPr>
          <w:rFonts w:asciiTheme="majorBidi" w:hAnsiTheme="majorBidi" w:cstheme="majorBidi"/>
        </w:rPr>
        <w:t xml:space="preserve"> Institute, 2815 San Gabriel, Rm 1.114</w:t>
      </w:r>
      <w:r>
        <w:rPr>
          <w:rFonts w:asciiTheme="majorBidi" w:hAnsiTheme="majorBidi" w:cstheme="majorBidi"/>
        </w:rPr>
        <w:t>)</w:t>
      </w:r>
    </w:p>
    <w:p w14:paraId="4163150C" w14:textId="170492B0" w:rsidR="00ED198D" w:rsidRPr="006C1142" w:rsidRDefault="00ED198D" w:rsidP="00ED198D">
      <w:pPr>
        <w:ind w:left="360" w:hanging="360"/>
        <w:rPr>
          <w:rFonts w:asciiTheme="majorBidi" w:hAnsiTheme="majorBidi" w:cstheme="majorBidi"/>
        </w:rPr>
      </w:pPr>
      <w:r w:rsidRPr="006C1142">
        <w:rPr>
          <w:rFonts w:asciiTheme="majorBidi" w:hAnsiTheme="majorBidi" w:cstheme="majorBidi"/>
        </w:rPr>
        <w:t>Bruce Kellison (</w:t>
      </w:r>
      <w:r w:rsidR="00A27318">
        <w:rPr>
          <w:rFonts w:asciiTheme="majorBidi" w:hAnsiTheme="majorBidi" w:cstheme="majorBidi"/>
        </w:rPr>
        <w:t>IC</w:t>
      </w:r>
      <w:r w:rsidR="00A27318" w:rsidRPr="00DA5695">
        <w:rPr>
          <w:rFonts w:asciiTheme="majorBidi" w:hAnsiTheme="majorBidi" w:cstheme="majorBidi"/>
          <w:vertAlign w:val="superscript"/>
        </w:rPr>
        <w:t>2</w:t>
      </w:r>
      <w:r w:rsidR="00A27318">
        <w:rPr>
          <w:rFonts w:asciiTheme="majorBidi" w:hAnsiTheme="majorBidi" w:cstheme="majorBidi"/>
        </w:rPr>
        <w:t xml:space="preserve"> Institute, 2815 San Gabriel, Rm 1.114</w:t>
      </w:r>
      <w:r>
        <w:rPr>
          <w:rFonts w:asciiTheme="majorBidi" w:hAnsiTheme="majorBidi" w:cstheme="majorBidi"/>
        </w:rPr>
        <w:t xml:space="preserve">) </w:t>
      </w:r>
      <w:r w:rsidRPr="006C1142">
        <w:rPr>
          <w:rFonts w:asciiTheme="majorBidi" w:hAnsiTheme="majorBidi" w:cstheme="majorBidi"/>
        </w:rPr>
        <w:t>Lead Instructor</w:t>
      </w:r>
      <w:r w:rsidR="00353626">
        <w:rPr>
          <w:rFonts w:asciiTheme="majorBidi" w:hAnsiTheme="majorBidi" w:cstheme="majorBidi"/>
        </w:rPr>
        <w:t xml:space="preserve"> </w:t>
      </w:r>
    </w:p>
    <w:p w14:paraId="7DAEDF95" w14:textId="77777777" w:rsidR="00BD5B33" w:rsidRPr="00852AD5" w:rsidRDefault="00BD5B33" w:rsidP="00DA5695">
      <w:pPr>
        <w:rPr>
          <w:rFonts w:asciiTheme="majorBidi" w:hAnsiTheme="majorBidi" w:cstheme="majorBidi"/>
        </w:rPr>
      </w:pPr>
    </w:p>
    <w:p w14:paraId="38C451B6" w14:textId="272860F3" w:rsidR="00BD5B33" w:rsidRPr="00DA5695" w:rsidRDefault="00BD5B33" w:rsidP="00170F9F">
      <w:pPr>
        <w:pStyle w:val="Heading1"/>
      </w:pPr>
      <w:r w:rsidRPr="00DA5695">
        <w:t xml:space="preserve">Teaching Assistant:  </w:t>
      </w:r>
      <w:r w:rsidR="00A27318" w:rsidRPr="00DA5695">
        <w:t>TBD</w:t>
      </w:r>
      <w:r w:rsidR="003E4B5A" w:rsidRPr="00DA5695">
        <w:t xml:space="preserve">  </w:t>
      </w:r>
    </w:p>
    <w:p w14:paraId="5E7F9340" w14:textId="77777777" w:rsidR="00BD5B33" w:rsidRPr="00DA5695" w:rsidRDefault="00BD5B33" w:rsidP="00DA2425">
      <w:pPr>
        <w:ind w:left="360" w:hanging="360"/>
        <w:rPr>
          <w:rFonts w:asciiTheme="majorBidi" w:hAnsiTheme="majorBidi" w:cstheme="majorBidi"/>
        </w:rPr>
      </w:pPr>
      <w:r w:rsidRPr="00DA5695">
        <w:rPr>
          <w:rFonts w:asciiTheme="majorBidi" w:hAnsiTheme="majorBidi" w:cstheme="majorBidi"/>
        </w:rPr>
        <w:t>Office Hours:</w:t>
      </w:r>
    </w:p>
    <w:p w14:paraId="5F40D9D0" w14:textId="6A5D352E" w:rsidR="00BD5B33" w:rsidRPr="00DA5695" w:rsidRDefault="00BD5B33" w:rsidP="00DA2425">
      <w:pPr>
        <w:ind w:left="360" w:hanging="360"/>
        <w:rPr>
          <w:rFonts w:asciiTheme="majorBidi" w:hAnsiTheme="majorBidi" w:cstheme="majorBidi"/>
        </w:rPr>
      </w:pPr>
      <w:r w:rsidRPr="00DA5695">
        <w:rPr>
          <w:rFonts w:asciiTheme="majorBidi" w:hAnsiTheme="majorBidi" w:cstheme="majorBidi"/>
        </w:rPr>
        <w:t xml:space="preserve">Office Location: </w:t>
      </w:r>
    </w:p>
    <w:p w14:paraId="7A81B95A" w14:textId="4411F188" w:rsidR="004025DB" w:rsidRPr="00852AD5" w:rsidRDefault="004025DB" w:rsidP="00170F9F">
      <w:pPr>
        <w:pStyle w:val="Heading1"/>
      </w:pPr>
      <w:r w:rsidRPr="00852AD5">
        <w:t xml:space="preserve">Course </w:t>
      </w:r>
      <w:r w:rsidR="006C4A5E">
        <w:t>Reading</w:t>
      </w:r>
      <w:r w:rsidRPr="00852AD5">
        <w:t>:</w:t>
      </w:r>
    </w:p>
    <w:p w14:paraId="4A21517D" w14:textId="77777777" w:rsidR="00CF73F6" w:rsidRDefault="004025DB" w:rsidP="006C4A5E">
      <w:pPr>
        <w:ind w:left="360" w:hanging="360"/>
        <w:rPr>
          <w:rFonts w:asciiTheme="majorBidi" w:hAnsiTheme="majorBidi" w:cstheme="majorBidi"/>
        </w:rPr>
      </w:pPr>
      <w:r w:rsidRPr="00852AD5">
        <w:rPr>
          <w:rFonts w:asciiTheme="majorBidi" w:hAnsiTheme="majorBidi" w:cstheme="majorBidi"/>
        </w:rPr>
        <w:tab/>
        <w:t>Required</w:t>
      </w:r>
      <w:r w:rsidRPr="00852AD5">
        <w:rPr>
          <w:rFonts w:asciiTheme="majorBidi" w:hAnsiTheme="majorBidi" w:cstheme="majorBidi"/>
        </w:rPr>
        <w:br/>
      </w:r>
    </w:p>
    <w:p w14:paraId="627E269F" w14:textId="78DA2E73" w:rsidR="006C4A5E" w:rsidRPr="006C4A5E" w:rsidRDefault="006C4A5E" w:rsidP="006C4A5E">
      <w:pPr>
        <w:ind w:left="360" w:hanging="360"/>
        <w:rPr>
          <w:rFonts w:asciiTheme="majorBidi" w:hAnsiTheme="majorBidi" w:cstheme="majorBidi"/>
        </w:rPr>
      </w:pPr>
      <w:r w:rsidRPr="006C4A5E">
        <w:rPr>
          <w:rFonts w:asciiTheme="majorBidi" w:hAnsiTheme="majorBidi" w:cstheme="majorBidi"/>
        </w:rPr>
        <w:t>Session 1 (August 2</w:t>
      </w:r>
      <w:r w:rsidR="00CF73F6">
        <w:rPr>
          <w:rFonts w:asciiTheme="majorBidi" w:hAnsiTheme="majorBidi" w:cstheme="majorBidi"/>
        </w:rPr>
        <w:t>6</w:t>
      </w:r>
      <w:r w:rsidRPr="006C4A5E">
        <w:rPr>
          <w:rFonts w:asciiTheme="majorBidi" w:hAnsiTheme="majorBidi" w:cstheme="majorBidi"/>
        </w:rPr>
        <w:t xml:space="preserve">): Making the “business value” case for identity, privacy, and </w:t>
      </w:r>
      <w:r w:rsidR="00104757">
        <w:rPr>
          <w:rFonts w:asciiTheme="majorBidi" w:hAnsiTheme="majorBidi" w:cstheme="majorBidi"/>
        </w:rPr>
        <w:t>information-</w:t>
      </w:r>
      <w:r w:rsidRPr="006C4A5E">
        <w:rPr>
          <w:rFonts w:asciiTheme="majorBidi" w:hAnsiTheme="majorBidi" w:cstheme="majorBidi"/>
        </w:rPr>
        <w:t>related investments</w:t>
      </w:r>
    </w:p>
    <w:p w14:paraId="1C9C8724" w14:textId="77777777" w:rsidR="006C4A5E" w:rsidRPr="006C4A5E" w:rsidRDefault="006C4A5E" w:rsidP="006C4A5E">
      <w:pPr>
        <w:ind w:left="360" w:hanging="360"/>
        <w:rPr>
          <w:rFonts w:asciiTheme="majorBidi" w:hAnsiTheme="majorBidi" w:cstheme="majorBidi"/>
          <w:b/>
        </w:rPr>
      </w:pPr>
    </w:p>
    <w:p w14:paraId="3BF940B4" w14:textId="77777777" w:rsidR="006C4A5E" w:rsidRPr="006C4A5E" w:rsidRDefault="006C4A5E" w:rsidP="006C4A5E">
      <w:pPr>
        <w:numPr>
          <w:ilvl w:val="0"/>
          <w:numId w:val="14"/>
        </w:numPr>
        <w:rPr>
          <w:rFonts w:asciiTheme="majorBidi" w:hAnsiTheme="majorBidi" w:cstheme="majorBidi"/>
        </w:rPr>
      </w:pPr>
      <w:r w:rsidRPr="006C4A5E">
        <w:rPr>
          <w:rFonts w:asciiTheme="majorBidi" w:hAnsiTheme="majorBidi" w:cstheme="majorBidi"/>
          <w:b/>
        </w:rPr>
        <w:t>(Canvas)</w:t>
      </w:r>
      <w:r w:rsidRPr="006C4A5E">
        <w:rPr>
          <w:rFonts w:asciiTheme="majorBidi" w:hAnsiTheme="majorBidi" w:cstheme="majorBidi"/>
        </w:rPr>
        <w:t>. CyberArk Software. (2019). “The risk initiative: Cyber metrics for better decisions.”</w:t>
      </w:r>
    </w:p>
    <w:p w14:paraId="6433FDF3" w14:textId="77777777" w:rsidR="006C4A5E" w:rsidRPr="006C4A5E" w:rsidRDefault="006C4A5E" w:rsidP="006C4A5E">
      <w:pPr>
        <w:numPr>
          <w:ilvl w:val="0"/>
          <w:numId w:val="14"/>
        </w:numPr>
        <w:rPr>
          <w:rFonts w:asciiTheme="majorBidi" w:hAnsiTheme="majorBidi" w:cstheme="majorBidi"/>
        </w:rPr>
      </w:pPr>
      <w:r w:rsidRPr="006C4A5E">
        <w:rPr>
          <w:rFonts w:asciiTheme="majorBidi" w:hAnsiTheme="majorBidi" w:cstheme="majorBidi"/>
          <w:b/>
          <w:lang w:val="sv-SE"/>
        </w:rPr>
        <w:t>(Canvas)</w:t>
      </w:r>
      <w:r w:rsidRPr="006C4A5E">
        <w:rPr>
          <w:rFonts w:asciiTheme="majorBidi" w:hAnsiTheme="majorBidi" w:cstheme="majorBidi"/>
          <w:lang w:val="sv-SE"/>
        </w:rPr>
        <w:t xml:space="preserve">. Damodaran, A. (2020). Net Present Value (NPV) Analysis. </w:t>
      </w:r>
      <w:r w:rsidRPr="006C4A5E">
        <w:rPr>
          <w:rFonts w:asciiTheme="majorBidi" w:hAnsiTheme="majorBidi" w:cstheme="majorBidi"/>
        </w:rPr>
        <w:t>“A Primer on the Time Value of Money.”</w:t>
      </w:r>
    </w:p>
    <w:p w14:paraId="39A234D6" w14:textId="77777777" w:rsidR="006C4A5E" w:rsidRPr="006C4A5E" w:rsidRDefault="006C4A5E" w:rsidP="006C4A5E">
      <w:pPr>
        <w:numPr>
          <w:ilvl w:val="0"/>
          <w:numId w:val="14"/>
        </w:numPr>
        <w:rPr>
          <w:rFonts w:asciiTheme="majorBidi" w:hAnsiTheme="majorBidi" w:cstheme="majorBidi"/>
        </w:rPr>
      </w:pPr>
      <w:r w:rsidRPr="006C4A5E">
        <w:rPr>
          <w:rFonts w:asciiTheme="majorBidi" w:hAnsiTheme="majorBidi" w:cstheme="majorBidi"/>
          <w:b/>
        </w:rPr>
        <w:t>(Canvas)</w:t>
      </w:r>
      <w:r w:rsidRPr="006C4A5E">
        <w:rPr>
          <w:rFonts w:asciiTheme="majorBidi" w:hAnsiTheme="majorBidi" w:cstheme="majorBidi"/>
        </w:rPr>
        <w:t>. “Total cost of ownership (</w:t>
      </w:r>
      <w:r w:rsidRPr="006C4A5E">
        <w:rPr>
          <w:rFonts w:asciiTheme="majorBidi" w:hAnsiTheme="majorBidi" w:cstheme="majorBidi"/>
          <w:bCs/>
        </w:rPr>
        <w:t>TCO) versus Return on investment (ROI): Which is Best for Making Investment Decisions?”</w:t>
      </w:r>
    </w:p>
    <w:p w14:paraId="1ED1BC41" w14:textId="77777777" w:rsidR="006C4A5E" w:rsidRPr="006C4A5E" w:rsidRDefault="006C4A5E" w:rsidP="006C4A5E">
      <w:pPr>
        <w:ind w:left="360" w:hanging="360"/>
        <w:rPr>
          <w:rFonts w:asciiTheme="majorBidi" w:hAnsiTheme="majorBidi" w:cstheme="majorBidi"/>
        </w:rPr>
      </w:pPr>
    </w:p>
    <w:p w14:paraId="6F2FBA2A" w14:textId="3DBB976B" w:rsidR="006C4A5E" w:rsidRPr="006C4A5E" w:rsidRDefault="006C4A5E" w:rsidP="00930B62">
      <w:pPr>
        <w:numPr>
          <w:ilvl w:val="0"/>
          <w:numId w:val="14"/>
        </w:numPr>
        <w:rPr>
          <w:rFonts w:asciiTheme="majorBidi" w:hAnsiTheme="majorBidi" w:cstheme="majorBidi"/>
        </w:rPr>
      </w:pPr>
      <w:r w:rsidRPr="006C4A5E">
        <w:rPr>
          <w:rFonts w:asciiTheme="majorBidi" w:hAnsiTheme="majorBidi" w:cstheme="majorBidi"/>
          <w:b/>
        </w:rPr>
        <w:t>Assignment preview</w:t>
      </w:r>
      <w:r w:rsidRPr="006C4A5E">
        <w:rPr>
          <w:rFonts w:asciiTheme="majorBidi" w:hAnsiTheme="majorBidi" w:cstheme="majorBidi"/>
        </w:rPr>
        <w:t xml:space="preserve">: This session will preview the </w:t>
      </w:r>
      <w:r w:rsidRPr="006C4A5E">
        <w:rPr>
          <w:rFonts w:asciiTheme="majorBidi" w:hAnsiTheme="majorBidi" w:cstheme="majorBidi"/>
          <w:i/>
        </w:rPr>
        <w:t>HappyPay Case Assignment</w:t>
      </w:r>
      <w:r w:rsidRPr="006C4A5E">
        <w:rPr>
          <w:rFonts w:asciiTheme="majorBidi" w:hAnsiTheme="majorBidi" w:cstheme="majorBidi"/>
        </w:rPr>
        <w:t xml:space="preserve"> which will be due in session 3</w:t>
      </w:r>
      <w:r w:rsidR="00930B62">
        <w:rPr>
          <w:rFonts w:asciiTheme="majorBidi" w:hAnsiTheme="majorBidi" w:cstheme="majorBidi"/>
        </w:rPr>
        <w:t xml:space="preserve"> (9/23)</w:t>
      </w:r>
      <w:r w:rsidRPr="006C4A5E">
        <w:rPr>
          <w:rFonts w:asciiTheme="majorBidi" w:hAnsiTheme="majorBidi" w:cstheme="majorBidi"/>
        </w:rPr>
        <w:t xml:space="preserve">. Please read the PDF file and the Excel </w:t>
      </w:r>
      <w:r w:rsidRPr="006C4A5E">
        <w:rPr>
          <w:rFonts w:asciiTheme="majorBidi" w:hAnsiTheme="majorBidi" w:cstheme="majorBidi"/>
        </w:rPr>
        <w:lastRenderedPageBreak/>
        <w:t xml:space="preserve">workbook for HappyPay case and </w:t>
      </w:r>
      <w:r w:rsidR="00930B62">
        <w:rPr>
          <w:rFonts w:asciiTheme="majorBidi" w:hAnsiTheme="majorBidi" w:cstheme="majorBidi"/>
        </w:rPr>
        <w:t>do the prep work requested</w:t>
      </w:r>
      <w:r w:rsidR="00A20CDE">
        <w:rPr>
          <w:rFonts w:asciiTheme="majorBidi" w:hAnsiTheme="majorBidi" w:cstheme="majorBidi"/>
        </w:rPr>
        <w:t>.</w:t>
      </w:r>
      <w:r w:rsidR="00930B62">
        <w:rPr>
          <w:rFonts w:asciiTheme="majorBidi" w:hAnsiTheme="majorBidi" w:cstheme="majorBidi"/>
        </w:rPr>
        <w:t xml:space="preserve"> </w:t>
      </w:r>
      <w:r w:rsidR="00930B62" w:rsidRPr="00930B62">
        <w:rPr>
          <w:rFonts w:asciiTheme="majorBidi" w:hAnsiTheme="majorBidi" w:cstheme="majorBidi"/>
        </w:rPr>
        <w:t xml:space="preserve">HappyPay case assignment aims to give students hands-on experience with the quantification of business value of an identity, privacy, and </w:t>
      </w:r>
      <w:r w:rsidR="00104757">
        <w:rPr>
          <w:rFonts w:asciiTheme="majorBidi" w:hAnsiTheme="majorBidi" w:cstheme="majorBidi"/>
        </w:rPr>
        <w:t>information-</w:t>
      </w:r>
      <w:r w:rsidR="00930B62" w:rsidRPr="00930B62">
        <w:rPr>
          <w:rFonts w:asciiTheme="majorBidi" w:hAnsiTheme="majorBidi" w:cstheme="majorBidi"/>
        </w:rPr>
        <w:t xml:space="preserve">related investment. The assignment has two parts. Part I is a non-graded intermediate deliverable, which is due by the first class session on August 26th. It is designed to familiarize you with the graded assignment and help you get started with it early on. Part I asks you to do some prep work on the assignment. The prep will help you absorb the concepts covered in the first class session and feel comfortable </w:t>
      </w:r>
      <w:r w:rsidR="00930B62">
        <w:rPr>
          <w:rFonts w:asciiTheme="majorBidi" w:hAnsiTheme="majorBidi" w:cstheme="majorBidi"/>
        </w:rPr>
        <w:t xml:space="preserve">in </w:t>
      </w:r>
      <w:r w:rsidR="00930B62" w:rsidRPr="00930B62">
        <w:rPr>
          <w:rFonts w:asciiTheme="majorBidi" w:hAnsiTheme="majorBidi" w:cstheme="majorBidi"/>
        </w:rPr>
        <w:t>doing the graded part of the assignment</w:t>
      </w:r>
      <w:r w:rsidR="008B0FBC">
        <w:rPr>
          <w:rFonts w:asciiTheme="majorBidi" w:hAnsiTheme="majorBidi" w:cstheme="majorBidi"/>
        </w:rPr>
        <w:t>, i.e., Part II due on 9/23</w:t>
      </w:r>
      <w:r w:rsidR="00930B62" w:rsidRPr="00930B62">
        <w:rPr>
          <w:rFonts w:asciiTheme="majorBidi" w:hAnsiTheme="majorBidi" w:cstheme="majorBidi"/>
        </w:rPr>
        <w:t xml:space="preserve">. Doing </w:t>
      </w:r>
      <w:r w:rsidR="00930B62">
        <w:rPr>
          <w:rFonts w:asciiTheme="majorBidi" w:hAnsiTheme="majorBidi" w:cstheme="majorBidi"/>
        </w:rPr>
        <w:t>P</w:t>
      </w:r>
      <w:r w:rsidR="00930B62" w:rsidRPr="00930B62">
        <w:rPr>
          <w:rFonts w:asciiTheme="majorBidi" w:hAnsiTheme="majorBidi" w:cstheme="majorBidi"/>
        </w:rPr>
        <w:t xml:space="preserve">art I without worrying about grade will also help you decide, by the first class session, whether you would prefer to do the graded part of the assignment on your own or with a group of 2-3 students. We will ask you to finalize this decision by the first class session </w:t>
      </w:r>
      <w:r w:rsidR="00930B62">
        <w:rPr>
          <w:rFonts w:asciiTheme="majorBidi" w:hAnsiTheme="majorBidi" w:cstheme="majorBidi"/>
        </w:rPr>
        <w:t xml:space="preserve">(8/26) </w:t>
      </w:r>
      <w:r w:rsidR="00930B62" w:rsidRPr="00930B62">
        <w:rPr>
          <w:rFonts w:asciiTheme="majorBidi" w:hAnsiTheme="majorBidi" w:cstheme="majorBidi"/>
        </w:rPr>
        <w:t xml:space="preserve">so we can know who wants to be on a group. We will also administer a survey on </w:t>
      </w:r>
      <w:r w:rsidR="00930B62">
        <w:rPr>
          <w:rFonts w:asciiTheme="majorBidi" w:hAnsiTheme="majorBidi" w:cstheme="majorBidi"/>
        </w:rPr>
        <w:t xml:space="preserve">the </w:t>
      </w:r>
      <w:r w:rsidR="00930B62" w:rsidRPr="00930B62">
        <w:rPr>
          <w:rFonts w:asciiTheme="majorBidi" w:hAnsiTheme="majorBidi" w:cstheme="majorBidi"/>
        </w:rPr>
        <w:t>first class day to assess skills of students and try to form groups whose members have complementary skills, to the extent feasible, with the number of students enrolled. Part II is the graded part of the assignment and it will be due by the third class session on September 23rd.</w:t>
      </w:r>
    </w:p>
    <w:p w14:paraId="1505D213" w14:textId="77777777" w:rsidR="006C4A5E" w:rsidRPr="006C4A5E" w:rsidRDefault="006C4A5E" w:rsidP="006C4A5E">
      <w:pPr>
        <w:ind w:left="360" w:hanging="360"/>
        <w:rPr>
          <w:rFonts w:asciiTheme="majorBidi" w:hAnsiTheme="majorBidi" w:cstheme="majorBidi"/>
        </w:rPr>
      </w:pPr>
    </w:p>
    <w:p w14:paraId="3B2D8D03" w14:textId="2DEB5DEC" w:rsidR="006C4A5E" w:rsidRPr="006C4A5E" w:rsidRDefault="006C4A5E" w:rsidP="006C4A5E">
      <w:pPr>
        <w:ind w:left="360" w:hanging="360"/>
        <w:rPr>
          <w:rFonts w:asciiTheme="majorBidi" w:hAnsiTheme="majorBidi" w:cstheme="majorBidi"/>
        </w:rPr>
      </w:pPr>
      <w:r w:rsidRPr="006C4A5E">
        <w:rPr>
          <w:rFonts w:asciiTheme="majorBidi" w:hAnsiTheme="majorBidi" w:cstheme="majorBidi"/>
        </w:rPr>
        <w:t>Session 2 (August 2</w:t>
      </w:r>
      <w:r w:rsidR="00CF73F6">
        <w:rPr>
          <w:rFonts w:asciiTheme="majorBidi" w:hAnsiTheme="majorBidi" w:cstheme="majorBidi"/>
        </w:rPr>
        <w:t>7</w:t>
      </w:r>
      <w:r w:rsidRPr="006C4A5E">
        <w:rPr>
          <w:rFonts w:asciiTheme="majorBidi" w:hAnsiTheme="majorBidi" w:cstheme="majorBidi"/>
        </w:rPr>
        <w:t xml:space="preserve">) </w:t>
      </w:r>
      <w:r w:rsidRPr="006C4A5E">
        <w:rPr>
          <w:rFonts w:asciiTheme="majorBidi" w:hAnsiTheme="majorBidi" w:cstheme="majorBidi"/>
          <w:b/>
        </w:rPr>
        <w:t xml:space="preserve">Making the “public value” case for identity, privacy, and </w:t>
      </w:r>
      <w:r w:rsidR="00104757">
        <w:rPr>
          <w:rFonts w:asciiTheme="majorBidi" w:hAnsiTheme="majorBidi" w:cstheme="majorBidi"/>
          <w:b/>
        </w:rPr>
        <w:t xml:space="preserve">information </w:t>
      </w:r>
      <w:r w:rsidRPr="006C4A5E">
        <w:rPr>
          <w:rFonts w:asciiTheme="majorBidi" w:hAnsiTheme="majorBidi" w:cstheme="majorBidi"/>
          <w:b/>
        </w:rPr>
        <w:t>security</w:t>
      </w:r>
      <w:r w:rsidR="00104757">
        <w:rPr>
          <w:rFonts w:asciiTheme="majorBidi" w:hAnsiTheme="majorBidi" w:cstheme="majorBidi"/>
          <w:b/>
        </w:rPr>
        <w:t>-</w:t>
      </w:r>
      <w:r w:rsidRPr="006C4A5E">
        <w:rPr>
          <w:rFonts w:asciiTheme="majorBidi" w:hAnsiTheme="majorBidi" w:cstheme="majorBidi"/>
          <w:b/>
        </w:rPr>
        <w:t>related investments</w:t>
      </w:r>
    </w:p>
    <w:p w14:paraId="5D8789F9" w14:textId="77777777" w:rsidR="006C4A5E" w:rsidRPr="006C4A5E" w:rsidRDefault="006C4A5E" w:rsidP="006C4A5E">
      <w:pPr>
        <w:ind w:left="360" w:hanging="360"/>
        <w:rPr>
          <w:rFonts w:asciiTheme="majorBidi" w:hAnsiTheme="majorBidi" w:cstheme="majorBidi"/>
        </w:rPr>
      </w:pPr>
    </w:p>
    <w:p w14:paraId="33C50626" w14:textId="77777777" w:rsidR="006C4A5E" w:rsidRPr="006C4A5E" w:rsidRDefault="006C4A5E" w:rsidP="006C4A5E">
      <w:pPr>
        <w:numPr>
          <w:ilvl w:val="0"/>
          <w:numId w:val="16"/>
        </w:numPr>
        <w:rPr>
          <w:rFonts w:asciiTheme="majorBidi" w:hAnsiTheme="majorBidi" w:cstheme="majorBidi"/>
        </w:rPr>
      </w:pPr>
      <w:r w:rsidRPr="006C4A5E">
        <w:rPr>
          <w:rFonts w:asciiTheme="majorBidi" w:hAnsiTheme="majorBidi" w:cstheme="majorBidi"/>
          <w:b/>
        </w:rPr>
        <w:t>(Canvas).</w:t>
      </w:r>
      <w:r w:rsidRPr="006C4A5E">
        <w:rPr>
          <w:rFonts w:asciiTheme="majorBidi" w:hAnsiTheme="majorBidi" w:cstheme="majorBidi"/>
        </w:rPr>
        <w:t xml:space="preserve"> Moore, M.H., and Khagram, S. (2004). “On creating public value: what business might learn from government about strategic management,” Corporate Social Responsibility Initiative Working Paper #3, Cambridge, MA: John F. Kennedy School of Government, Harvard University.</w:t>
      </w:r>
    </w:p>
    <w:p w14:paraId="2889C0D7" w14:textId="77777777" w:rsidR="006C4A5E" w:rsidRPr="006C4A5E" w:rsidRDefault="006C4A5E" w:rsidP="006C4A5E">
      <w:pPr>
        <w:numPr>
          <w:ilvl w:val="0"/>
          <w:numId w:val="16"/>
        </w:numPr>
        <w:rPr>
          <w:rFonts w:asciiTheme="majorBidi" w:hAnsiTheme="majorBidi" w:cstheme="majorBidi"/>
        </w:rPr>
      </w:pPr>
      <w:r w:rsidRPr="006C4A5E">
        <w:rPr>
          <w:rFonts w:asciiTheme="majorBidi" w:hAnsiTheme="majorBidi" w:cstheme="majorBidi"/>
          <w:b/>
        </w:rPr>
        <w:t>(Canvas)</w:t>
      </w:r>
      <w:r w:rsidRPr="006C4A5E">
        <w:rPr>
          <w:rFonts w:asciiTheme="majorBidi" w:hAnsiTheme="majorBidi" w:cstheme="majorBidi"/>
        </w:rPr>
        <w:t>. ISACA. (2010). "The Business case guide: using Val IT™ 2.0." (ISBN 978-1-60420-105-5)</w:t>
      </w:r>
    </w:p>
    <w:p w14:paraId="47B7B433" w14:textId="77777777" w:rsidR="006C4A5E" w:rsidRPr="006C4A5E" w:rsidRDefault="006C4A5E" w:rsidP="006C4A5E">
      <w:pPr>
        <w:numPr>
          <w:ilvl w:val="0"/>
          <w:numId w:val="16"/>
        </w:numPr>
        <w:rPr>
          <w:rFonts w:asciiTheme="majorBidi" w:hAnsiTheme="majorBidi" w:cstheme="majorBidi"/>
        </w:rPr>
      </w:pPr>
      <w:r w:rsidRPr="006C4A5E">
        <w:rPr>
          <w:rFonts w:asciiTheme="majorBidi" w:hAnsiTheme="majorBidi" w:cstheme="majorBidi"/>
          <w:b/>
        </w:rPr>
        <w:t>(Canvas)</w:t>
      </w:r>
      <w:r w:rsidRPr="006C4A5E">
        <w:rPr>
          <w:rFonts w:asciiTheme="majorBidi" w:hAnsiTheme="majorBidi" w:cstheme="majorBidi"/>
        </w:rPr>
        <w:t>. ISACA (2007). “Val IT Case Study: Value Governance—Police Case Study”</w:t>
      </w:r>
    </w:p>
    <w:p w14:paraId="6D88D5ED" w14:textId="77777777" w:rsidR="006C4A5E" w:rsidRPr="006C4A5E" w:rsidRDefault="006C4A5E" w:rsidP="006C4A5E">
      <w:pPr>
        <w:ind w:left="360" w:hanging="360"/>
        <w:rPr>
          <w:rFonts w:asciiTheme="majorBidi" w:hAnsiTheme="majorBidi" w:cstheme="majorBidi"/>
        </w:rPr>
      </w:pPr>
    </w:p>
    <w:p w14:paraId="3583D74A" w14:textId="2E284A69" w:rsidR="006C4A5E" w:rsidRPr="006C4A5E" w:rsidRDefault="006C4A5E" w:rsidP="006C4A5E">
      <w:pPr>
        <w:numPr>
          <w:ilvl w:val="0"/>
          <w:numId w:val="14"/>
        </w:numPr>
        <w:rPr>
          <w:rFonts w:asciiTheme="majorBidi" w:hAnsiTheme="majorBidi" w:cstheme="majorBidi"/>
        </w:rPr>
      </w:pPr>
      <w:r w:rsidRPr="006C4A5E">
        <w:rPr>
          <w:rFonts w:asciiTheme="majorBidi" w:hAnsiTheme="majorBidi" w:cstheme="majorBidi"/>
          <w:b/>
        </w:rPr>
        <w:t xml:space="preserve">Assignment preview: </w:t>
      </w:r>
      <w:r w:rsidRPr="006C4A5E">
        <w:rPr>
          <w:rFonts w:asciiTheme="majorBidi" w:hAnsiTheme="majorBidi" w:cstheme="majorBidi"/>
        </w:rPr>
        <w:t xml:space="preserve">This session will preview the </w:t>
      </w:r>
      <w:r w:rsidRPr="006C4A5E">
        <w:rPr>
          <w:rFonts w:asciiTheme="majorBidi" w:hAnsiTheme="majorBidi" w:cstheme="majorBidi"/>
          <w:i/>
        </w:rPr>
        <w:t>ShotSpotter Case Assignment</w:t>
      </w:r>
      <w:r w:rsidRPr="006C4A5E">
        <w:rPr>
          <w:rFonts w:asciiTheme="majorBidi" w:hAnsiTheme="majorBidi" w:cstheme="majorBidi"/>
        </w:rPr>
        <w:t xml:space="preserve"> which will be due in session 4. Please read the details of this assignment and raise any questions in this session.</w:t>
      </w:r>
      <w:r w:rsidR="008B0FBC">
        <w:rPr>
          <w:rFonts w:asciiTheme="majorBidi" w:hAnsiTheme="majorBidi" w:cstheme="majorBidi"/>
        </w:rPr>
        <w:t xml:space="preserve"> Students who decide to do the HappyPay assignment with a group will also do the ShotSpotter case assignment with the same group.</w:t>
      </w:r>
    </w:p>
    <w:p w14:paraId="1DE704D5" w14:textId="77777777" w:rsidR="006C4A5E" w:rsidRPr="006C4A5E" w:rsidRDefault="006C4A5E" w:rsidP="006C4A5E">
      <w:pPr>
        <w:ind w:left="360" w:hanging="360"/>
        <w:rPr>
          <w:rFonts w:asciiTheme="majorBidi" w:hAnsiTheme="majorBidi" w:cstheme="majorBidi"/>
        </w:rPr>
      </w:pPr>
    </w:p>
    <w:p w14:paraId="42B115C7" w14:textId="65FBE057" w:rsidR="006C4A5E" w:rsidRPr="006C4A5E" w:rsidRDefault="006C4A5E" w:rsidP="006C4A5E">
      <w:pPr>
        <w:ind w:left="360" w:hanging="360"/>
        <w:rPr>
          <w:rFonts w:asciiTheme="majorBidi" w:hAnsiTheme="majorBidi" w:cstheme="majorBidi"/>
          <w:b/>
        </w:rPr>
      </w:pPr>
      <w:r w:rsidRPr="006C4A5E">
        <w:rPr>
          <w:rFonts w:asciiTheme="majorBidi" w:hAnsiTheme="majorBidi" w:cstheme="majorBidi"/>
        </w:rPr>
        <w:t xml:space="preserve">Session 3 (September </w:t>
      </w:r>
      <w:r w:rsidR="00CF73F6">
        <w:rPr>
          <w:rFonts w:asciiTheme="majorBidi" w:hAnsiTheme="majorBidi" w:cstheme="majorBidi"/>
        </w:rPr>
        <w:t>23</w:t>
      </w:r>
      <w:r w:rsidRPr="006C4A5E">
        <w:rPr>
          <w:rFonts w:asciiTheme="majorBidi" w:hAnsiTheme="majorBidi" w:cstheme="majorBidi"/>
        </w:rPr>
        <w:t xml:space="preserve">) </w:t>
      </w:r>
      <w:r w:rsidRPr="006C4A5E">
        <w:rPr>
          <w:rFonts w:asciiTheme="majorBidi" w:hAnsiTheme="majorBidi" w:cstheme="majorBidi"/>
          <w:b/>
        </w:rPr>
        <w:t>Application of business value justification concepts:</w:t>
      </w:r>
    </w:p>
    <w:p w14:paraId="1E9D4830" w14:textId="77777777" w:rsidR="006C4A5E" w:rsidRPr="006C4A5E" w:rsidRDefault="006C4A5E" w:rsidP="006C4A5E">
      <w:pPr>
        <w:ind w:left="360" w:hanging="360"/>
        <w:rPr>
          <w:rFonts w:asciiTheme="majorBidi" w:hAnsiTheme="majorBidi" w:cstheme="majorBidi"/>
        </w:rPr>
      </w:pPr>
    </w:p>
    <w:p w14:paraId="12E72B90" w14:textId="03DEF996" w:rsidR="006C4A5E" w:rsidRPr="006C4A5E" w:rsidRDefault="006C4A5E" w:rsidP="006C4A5E">
      <w:pPr>
        <w:numPr>
          <w:ilvl w:val="0"/>
          <w:numId w:val="15"/>
        </w:numPr>
        <w:rPr>
          <w:rFonts w:asciiTheme="majorBidi" w:hAnsiTheme="majorBidi" w:cstheme="majorBidi"/>
        </w:rPr>
      </w:pPr>
      <w:r w:rsidRPr="006C4A5E">
        <w:rPr>
          <w:rFonts w:asciiTheme="majorBidi" w:hAnsiTheme="majorBidi" w:cstheme="majorBidi"/>
        </w:rPr>
        <w:t>Student</w:t>
      </w:r>
      <w:r w:rsidR="00A20CDE">
        <w:rPr>
          <w:rFonts w:asciiTheme="majorBidi" w:hAnsiTheme="majorBidi" w:cstheme="majorBidi"/>
        </w:rPr>
        <w:t>s</w:t>
      </w:r>
      <w:r w:rsidRPr="006C4A5E">
        <w:rPr>
          <w:rFonts w:asciiTheme="majorBidi" w:hAnsiTheme="majorBidi" w:cstheme="majorBidi"/>
        </w:rPr>
        <w:t xml:space="preserve"> present their </w:t>
      </w:r>
      <w:r w:rsidRPr="006C4A5E">
        <w:rPr>
          <w:rFonts w:asciiTheme="majorBidi" w:hAnsiTheme="majorBidi" w:cstheme="majorBidi"/>
          <w:i/>
        </w:rPr>
        <w:t>HappyPay Case Assignment</w:t>
      </w:r>
      <w:r w:rsidRPr="006C4A5E">
        <w:rPr>
          <w:rFonts w:asciiTheme="majorBidi" w:hAnsiTheme="majorBidi" w:cstheme="majorBidi"/>
        </w:rPr>
        <w:t xml:space="preserve"> solutions: the business value case for the IAM investment of HappyPay.</w:t>
      </w:r>
    </w:p>
    <w:p w14:paraId="497EE9C9" w14:textId="77777777" w:rsidR="006C4A5E" w:rsidRPr="006C4A5E" w:rsidRDefault="006C4A5E" w:rsidP="006C4A5E">
      <w:pPr>
        <w:numPr>
          <w:ilvl w:val="0"/>
          <w:numId w:val="15"/>
        </w:numPr>
        <w:rPr>
          <w:rFonts w:asciiTheme="majorBidi" w:hAnsiTheme="majorBidi" w:cstheme="majorBidi"/>
        </w:rPr>
      </w:pPr>
      <w:r w:rsidRPr="006C4A5E">
        <w:rPr>
          <w:rFonts w:asciiTheme="majorBidi" w:hAnsiTheme="majorBidi" w:cstheme="majorBidi"/>
        </w:rPr>
        <w:t xml:space="preserve">Background materials for the </w:t>
      </w:r>
      <w:r w:rsidRPr="006C4A5E">
        <w:rPr>
          <w:rFonts w:asciiTheme="majorBidi" w:hAnsiTheme="majorBidi" w:cstheme="majorBidi"/>
          <w:i/>
        </w:rPr>
        <w:t>HappyPay Case Assignment</w:t>
      </w:r>
      <w:r w:rsidRPr="006C4A5E">
        <w:rPr>
          <w:rFonts w:asciiTheme="majorBidi" w:hAnsiTheme="majorBidi" w:cstheme="majorBidi"/>
        </w:rPr>
        <w:t xml:space="preserve">: </w:t>
      </w:r>
    </w:p>
    <w:p w14:paraId="24DB9FE2" w14:textId="77777777" w:rsidR="006C4A5E" w:rsidRPr="006C4A5E" w:rsidRDefault="006C4A5E" w:rsidP="006C4A5E">
      <w:pPr>
        <w:numPr>
          <w:ilvl w:val="2"/>
          <w:numId w:val="15"/>
        </w:numPr>
        <w:rPr>
          <w:rFonts w:asciiTheme="majorBidi" w:hAnsiTheme="majorBidi" w:cstheme="majorBidi"/>
        </w:rPr>
      </w:pPr>
      <w:r w:rsidRPr="006C4A5E">
        <w:rPr>
          <w:rFonts w:asciiTheme="majorBidi" w:hAnsiTheme="majorBidi" w:cstheme="majorBidi"/>
          <w:b/>
        </w:rPr>
        <w:t>(Canvas)</w:t>
      </w:r>
      <w:r w:rsidRPr="006C4A5E">
        <w:rPr>
          <w:rFonts w:asciiTheme="majorBidi" w:hAnsiTheme="majorBidi" w:cstheme="majorBidi"/>
        </w:rPr>
        <w:t>. HappyPay Case - Part II (see both PDF file and Excel workbook)</w:t>
      </w:r>
    </w:p>
    <w:p w14:paraId="18916F1B" w14:textId="77777777" w:rsidR="006C4A5E" w:rsidRPr="006C4A5E" w:rsidRDefault="006C4A5E" w:rsidP="006C4A5E">
      <w:pPr>
        <w:numPr>
          <w:ilvl w:val="2"/>
          <w:numId w:val="15"/>
        </w:numPr>
        <w:rPr>
          <w:rFonts w:asciiTheme="majorBidi" w:hAnsiTheme="majorBidi" w:cstheme="majorBidi"/>
        </w:rPr>
      </w:pPr>
      <w:r w:rsidRPr="006C4A5E">
        <w:rPr>
          <w:rFonts w:asciiTheme="majorBidi" w:hAnsiTheme="majorBidi" w:cstheme="majorBidi"/>
          <w:b/>
        </w:rPr>
        <w:t>(Canvas)</w:t>
      </w:r>
      <w:r w:rsidRPr="006C4A5E">
        <w:rPr>
          <w:rFonts w:asciiTheme="majorBidi" w:hAnsiTheme="majorBidi" w:cstheme="majorBidi"/>
        </w:rPr>
        <w:t>. SailPoint (2016). How to Create a Business Case for Identity and Access Management.</w:t>
      </w:r>
    </w:p>
    <w:p w14:paraId="1E6015A9" w14:textId="77777777" w:rsidR="006C4A5E" w:rsidRPr="006C4A5E" w:rsidRDefault="006C4A5E" w:rsidP="006C4A5E">
      <w:pPr>
        <w:ind w:left="360" w:hanging="360"/>
        <w:rPr>
          <w:rFonts w:asciiTheme="majorBidi" w:hAnsiTheme="majorBidi" w:cstheme="majorBidi"/>
        </w:rPr>
      </w:pPr>
    </w:p>
    <w:p w14:paraId="672BA65F" w14:textId="77777777" w:rsidR="006C4A5E" w:rsidRPr="006C4A5E" w:rsidRDefault="006C4A5E" w:rsidP="006C4A5E">
      <w:pPr>
        <w:numPr>
          <w:ilvl w:val="0"/>
          <w:numId w:val="15"/>
        </w:numPr>
        <w:rPr>
          <w:rFonts w:asciiTheme="majorBidi" w:hAnsiTheme="majorBidi" w:cstheme="majorBidi"/>
        </w:rPr>
      </w:pPr>
      <w:r w:rsidRPr="006C4A5E">
        <w:rPr>
          <w:rFonts w:asciiTheme="majorBidi" w:hAnsiTheme="majorBidi" w:cstheme="majorBidi"/>
        </w:rPr>
        <w:t>Discussion of presentations</w:t>
      </w:r>
    </w:p>
    <w:p w14:paraId="109A6A46" w14:textId="77777777" w:rsidR="006C4A5E" w:rsidRPr="006C4A5E" w:rsidRDefault="006C4A5E" w:rsidP="006C4A5E">
      <w:pPr>
        <w:numPr>
          <w:ilvl w:val="0"/>
          <w:numId w:val="15"/>
        </w:numPr>
        <w:rPr>
          <w:rFonts w:asciiTheme="majorBidi" w:hAnsiTheme="majorBidi" w:cstheme="majorBidi"/>
        </w:rPr>
      </w:pPr>
      <w:r w:rsidRPr="006C4A5E">
        <w:rPr>
          <w:rFonts w:asciiTheme="majorBidi" w:hAnsiTheme="majorBidi" w:cstheme="majorBidi"/>
        </w:rPr>
        <w:t>Discussion of strengths, weaknesses, and limitations of NPV, ROI, and TOC frameworks.</w:t>
      </w:r>
    </w:p>
    <w:p w14:paraId="3A524161" w14:textId="77A1414D" w:rsidR="006C4A5E" w:rsidRPr="006C4A5E" w:rsidRDefault="006C4A5E" w:rsidP="00D20E7D">
      <w:pPr>
        <w:rPr>
          <w:rFonts w:asciiTheme="majorBidi" w:hAnsiTheme="majorBidi" w:cstheme="majorBidi"/>
          <w:b/>
        </w:rPr>
      </w:pPr>
      <w:r w:rsidRPr="006C4A5E">
        <w:rPr>
          <w:rFonts w:asciiTheme="majorBidi" w:hAnsiTheme="majorBidi" w:cstheme="majorBidi"/>
        </w:rPr>
        <w:lastRenderedPageBreak/>
        <w:t>Session 4 (September 2</w:t>
      </w:r>
      <w:r w:rsidR="00CF73F6">
        <w:rPr>
          <w:rFonts w:asciiTheme="majorBidi" w:hAnsiTheme="majorBidi" w:cstheme="majorBidi"/>
        </w:rPr>
        <w:t>4</w:t>
      </w:r>
      <w:r w:rsidRPr="006C4A5E">
        <w:rPr>
          <w:rFonts w:asciiTheme="majorBidi" w:hAnsiTheme="majorBidi" w:cstheme="majorBidi"/>
        </w:rPr>
        <w:t xml:space="preserve">): </w:t>
      </w:r>
      <w:r w:rsidRPr="006C4A5E">
        <w:rPr>
          <w:rFonts w:asciiTheme="majorBidi" w:hAnsiTheme="majorBidi" w:cstheme="majorBidi"/>
          <w:b/>
        </w:rPr>
        <w:t>Application of public value justification concepts:</w:t>
      </w:r>
    </w:p>
    <w:p w14:paraId="00A2E854" w14:textId="77777777" w:rsidR="006C4A5E" w:rsidRPr="006C4A5E" w:rsidRDefault="006C4A5E" w:rsidP="006C4A5E">
      <w:pPr>
        <w:ind w:left="360" w:hanging="360"/>
        <w:rPr>
          <w:rFonts w:asciiTheme="majorBidi" w:hAnsiTheme="majorBidi" w:cstheme="majorBidi"/>
        </w:rPr>
      </w:pPr>
    </w:p>
    <w:p w14:paraId="04B799F0" w14:textId="06454EDD" w:rsidR="006C4A5E" w:rsidRPr="006C4A5E" w:rsidRDefault="006C4A5E" w:rsidP="006C4A5E">
      <w:pPr>
        <w:numPr>
          <w:ilvl w:val="0"/>
          <w:numId w:val="12"/>
        </w:numPr>
        <w:rPr>
          <w:rFonts w:asciiTheme="majorBidi" w:hAnsiTheme="majorBidi" w:cstheme="majorBidi"/>
        </w:rPr>
      </w:pPr>
      <w:r w:rsidRPr="006C4A5E">
        <w:rPr>
          <w:rFonts w:asciiTheme="majorBidi" w:hAnsiTheme="majorBidi" w:cstheme="majorBidi"/>
        </w:rPr>
        <w:t>Student</w:t>
      </w:r>
      <w:r w:rsidR="00A20CDE">
        <w:rPr>
          <w:rFonts w:asciiTheme="majorBidi" w:hAnsiTheme="majorBidi" w:cstheme="majorBidi"/>
        </w:rPr>
        <w:t>s</w:t>
      </w:r>
      <w:r w:rsidRPr="006C4A5E">
        <w:rPr>
          <w:rFonts w:asciiTheme="majorBidi" w:hAnsiTheme="majorBidi" w:cstheme="majorBidi"/>
        </w:rPr>
        <w:t xml:space="preserve"> present their solutions to the </w:t>
      </w:r>
      <w:r w:rsidRPr="006C4A5E">
        <w:rPr>
          <w:rFonts w:asciiTheme="majorBidi" w:hAnsiTheme="majorBidi" w:cstheme="majorBidi"/>
          <w:i/>
        </w:rPr>
        <w:t>ShotSpotter Case Assignment</w:t>
      </w:r>
      <w:r w:rsidRPr="006C4A5E">
        <w:rPr>
          <w:rFonts w:asciiTheme="majorBidi" w:hAnsiTheme="majorBidi" w:cstheme="majorBidi"/>
        </w:rPr>
        <w:t>: i.e., public value case for the ShotSpotter investment of Austin Police Department.</w:t>
      </w:r>
    </w:p>
    <w:p w14:paraId="1299413E" w14:textId="77777777" w:rsidR="006C4A5E" w:rsidRPr="006C4A5E" w:rsidRDefault="006C4A5E" w:rsidP="006C4A5E">
      <w:pPr>
        <w:numPr>
          <w:ilvl w:val="0"/>
          <w:numId w:val="12"/>
        </w:numPr>
        <w:rPr>
          <w:rFonts w:asciiTheme="majorBidi" w:hAnsiTheme="majorBidi" w:cstheme="majorBidi"/>
        </w:rPr>
      </w:pPr>
      <w:r w:rsidRPr="006C4A5E">
        <w:rPr>
          <w:rFonts w:asciiTheme="majorBidi" w:hAnsiTheme="majorBidi" w:cstheme="majorBidi"/>
        </w:rPr>
        <w:t xml:space="preserve">Background materials for the </w:t>
      </w:r>
      <w:r w:rsidRPr="006C4A5E">
        <w:rPr>
          <w:rFonts w:asciiTheme="majorBidi" w:hAnsiTheme="majorBidi" w:cstheme="majorBidi"/>
          <w:i/>
        </w:rPr>
        <w:t>ShotSpotter Case Assignment</w:t>
      </w:r>
      <w:r w:rsidRPr="006C4A5E">
        <w:rPr>
          <w:rFonts w:asciiTheme="majorBidi" w:hAnsiTheme="majorBidi" w:cstheme="majorBidi"/>
        </w:rPr>
        <w:t xml:space="preserve">: </w:t>
      </w:r>
    </w:p>
    <w:p w14:paraId="1C689737" w14:textId="77777777" w:rsidR="006C4A5E" w:rsidRPr="006C4A5E" w:rsidRDefault="006C4A5E" w:rsidP="006C4A5E">
      <w:pPr>
        <w:numPr>
          <w:ilvl w:val="0"/>
          <w:numId w:val="12"/>
        </w:numPr>
        <w:rPr>
          <w:rFonts w:asciiTheme="majorBidi" w:hAnsiTheme="majorBidi" w:cstheme="majorBidi"/>
        </w:rPr>
      </w:pPr>
      <w:r w:rsidRPr="006C4A5E">
        <w:rPr>
          <w:rFonts w:asciiTheme="majorBidi" w:hAnsiTheme="majorBidi" w:cstheme="majorBidi"/>
          <w:b/>
        </w:rPr>
        <w:t>(Harvard)</w:t>
      </w:r>
      <w:r w:rsidRPr="006C4A5E">
        <w:rPr>
          <w:rFonts w:asciiTheme="majorBidi" w:hAnsiTheme="majorBidi" w:cstheme="majorBidi"/>
        </w:rPr>
        <w:t xml:space="preserve">. Weiss, M.B., and </w:t>
      </w:r>
      <w:proofErr w:type="spellStart"/>
      <w:r w:rsidRPr="006C4A5E">
        <w:rPr>
          <w:rFonts w:asciiTheme="majorBidi" w:hAnsiTheme="majorBidi" w:cstheme="majorBidi"/>
        </w:rPr>
        <w:t>McAra</w:t>
      </w:r>
      <w:proofErr w:type="spellEnd"/>
      <w:r w:rsidRPr="006C4A5E">
        <w:rPr>
          <w:rFonts w:asciiTheme="majorBidi" w:hAnsiTheme="majorBidi" w:cstheme="majorBidi"/>
        </w:rPr>
        <w:t>, S. (2016). ShotSpotter. Harvard Business School Product #: 817034-PDF-ENG (purchase the case at: https://hbsp.harvard.edu/import/737681).</w:t>
      </w:r>
    </w:p>
    <w:p w14:paraId="737DC936" w14:textId="77777777" w:rsidR="006C4A5E" w:rsidRPr="006C4A5E" w:rsidRDefault="006C4A5E" w:rsidP="006C4A5E">
      <w:pPr>
        <w:numPr>
          <w:ilvl w:val="0"/>
          <w:numId w:val="12"/>
        </w:numPr>
        <w:rPr>
          <w:rFonts w:asciiTheme="majorBidi" w:hAnsiTheme="majorBidi" w:cstheme="majorBidi"/>
        </w:rPr>
      </w:pPr>
      <w:r w:rsidRPr="006C4A5E">
        <w:rPr>
          <w:rFonts w:asciiTheme="majorBidi" w:hAnsiTheme="majorBidi" w:cstheme="majorBidi"/>
          <w:b/>
          <w:lang w:val="fr-FR"/>
        </w:rPr>
        <w:t>(Canvas)</w:t>
      </w:r>
      <w:r w:rsidRPr="006C4A5E">
        <w:rPr>
          <w:rFonts w:asciiTheme="majorBidi" w:hAnsiTheme="majorBidi" w:cstheme="majorBidi"/>
          <w:lang w:val="fr-FR"/>
        </w:rPr>
        <w:t xml:space="preserve">. La Vigne, N.G., Thompson, P.S., Lawrence, D.S., Goff. M. (2019). </w:t>
      </w:r>
      <w:r w:rsidRPr="006C4A5E">
        <w:rPr>
          <w:rFonts w:asciiTheme="majorBidi" w:hAnsiTheme="majorBidi" w:cstheme="majorBidi"/>
        </w:rPr>
        <w:t>“Implementing Gunshot Detection Technology Recommendations for Law Enforcement and Municipal Partners.”</w:t>
      </w:r>
    </w:p>
    <w:p w14:paraId="3B9D23CA" w14:textId="77777777" w:rsidR="006C4A5E" w:rsidRPr="006C4A5E" w:rsidRDefault="006C4A5E" w:rsidP="006C4A5E">
      <w:pPr>
        <w:numPr>
          <w:ilvl w:val="0"/>
          <w:numId w:val="12"/>
        </w:numPr>
        <w:rPr>
          <w:rFonts w:asciiTheme="majorBidi" w:hAnsiTheme="majorBidi" w:cstheme="majorBidi"/>
        </w:rPr>
      </w:pPr>
      <w:r w:rsidRPr="006C4A5E">
        <w:rPr>
          <w:rFonts w:asciiTheme="majorBidi" w:hAnsiTheme="majorBidi" w:cstheme="majorBidi"/>
          <w:b/>
        </w:rPr>
        <w:t>Re-read from session-2: (Canvas)</w:t>
      </w:r>
      <w:r w:rsidRPr="006C4A5E">
        <w:rPr>
          <w:rFonts w:asciiTheme="majorBidi" w:hAnsiTheme="majorBidi" w:cstheme="majorBidi"/>
        </w:rPr>
        <w:t>. ISACA. (2010). "The Business case guide: using Val IT™ 2.0." (ISBN 978-1-60420-105-5)</w:t>
      </w:r>
    </w:p>
    <w:p w14:paraId="1672C9F0" w14:textId="77777777" w:rsidR="006C4A5E" w:rsidRPr="006C4A5E" w:rsidRDefault="006C4A5E" w:rsidP="006C4A5E">
      <w:pPr>
        <w:numPr>
          <w:ilvl w:val="0"/>
          <w:numId w:val="12"/>
        </w:numPr>
        <w:rPr>
          <w:rFonts w:asciiTheme="majorBidi" w:hAnsiTheme="majorBidi" w:cstheme="majorBidi"/>
        </w:rPr>
      </w:pPr>
      <w:r w:rsidRPr="006C4A5E">
        <w:rPr>
          <w:rFonts w:asciiTheme="majorBidi" w:hAnsiTheme="majorBidi" w:cstheme="majorBidi"/>
          <w:b/>
        </w:rPr>
        <w:t>Re-read from session-2: (Canvas)</w:t>
      </w:r>
      <w:r w:rsidRPr="006C4A5E">
        <w:rPr>
          <w:rFonts w:asciiTheme="majorBidi" w:hAnsiTheme="majorBidi" w:cstheme="majorBidi"/>
        </w:rPr>
        <w:t>. ISACA (2007). “Val IT Case Study: Value Governance—Police Case Study”</w:t>
      </w:r>
    </w:p>
    <w:p w14:paraId="4CB9AF96" w14:textId="77777777" w:rsidR="006C4A5E" w:rsidRPr="006C4A5E" w:rsidRDefault="006C4A5E" w:rsidP="006C4A5E">
      <w:pPr>
        <w:ind w:left="360" w:hanging="360"/>
        <w:rPr>
          <w:rFonts w:asciiTheme="majorBidi" w:hAnsiTheme="majorBidi" w:cstheme="majorBidi"/>
        </w:rPr>
      </w:pPr>
    </w:p>
    <w:p w14:paraId="0A91FE90" w14:textId="77777777" w:rsidR="006C4A5E" w:rsidRPr="006C4A5E" w:rsidRDefault="006C4A5E" w:rsidP="006C4A5E">
      <w:pPr>
        <w:numPr>
          <w:ilvl w:val="0"/>
          <w:numId w:val="12"/>
        </w:numPr>
        <w:rPr>
          <w:rFonts w:asciiTheme="majorBidi" w:hAnsiTheme="majorBidi" w:cstheme="majorBidi"/>
        </w:rPr>
      </w:pPr>
      <w:r w:rsidRPr="006C4A5E">
        <w:rPr>
          <w:rFonts w:asciiTheme="majorBidi" w:hAnsiTheme="majorBidi" w:cstheme="majorBidi"/>
        </w:rPr>
        <w:t>Discussion of presentations</w:t>
      </w:r>
    </w:p>
    <w:p w14:paraId="1DDF9176" w14:textId="77777777" w:rsidR="006C4A5E" w:rsidRPr="006C4A5E" w:rsidRDefault="006C4A5E" w:rsidP="006C4A5E">
      <w:pPr>
        <w:numPr>
          <w:ilvl w:val="0"/>
          <w:numId w:val="12"/>
        </w:numPr>
        <w:rPr>
          <w:rFonts w:asciiTheme="majorBidi" w:hAnsiTheme="majorBidi" w:cstheme="majorBidi"/>
        </w:rPr>
      </w:pPr>
      <w:r w:rsidRPr="006C4A5E">
        <w:rPr>
          <w:rFonts w:asciiTheme="majorBidi" w:hAnsiTheme="majorBidi" w:cstheme="majorBidi"/>
        </w:rPr>
        <w:t>Discussion of strengths, weaknesses, and limitations of the public value framework</w:t>
      </w:r>
    </w:p>
    <w:p w14:paraId="2D39471F" w14:textId="7C8F2BF8" w:rsidR="006C4A5E" w:rsidRDefault="006C4A5E" w:rsidP="00CF73F6">
      <w:pPr>
        <w:rPr>
          <w:rFonts w:asciiTheme="majorBidi" w:hAnsiTheme="majorBidi" w:cstheme="majorBidi"/>
        </w:rPr>
      </w:pPr>
    </w:p>
    <w:p w14:paraId="1B96BE49" w14:textId="2CD7562A" w:rsidR="00865047" w:rsidRDefault="00865047" w:rsidP="00CF73F6">
      <w:pPr>
        <w:rPr>
          <w:rFonts w:asciiTheme="majorBidi" w:hAnsiTheme="majorBidi" w:cstheme="majorBidi"/>
        </w:rPr>
      </w:pPr>
      <w:r>
        <w:rPr>
          <w:rFonts w:asciiTheme="majorBidi" w:hAnsiTheme="majorBidi" w:cstheme="majorBidi"/>
        </w:rPr>
        <w:t>Session 5 (</w:t>
      </w:r>
      <w:r w:rsidR="002F1D2C">
        <w:rPr>
          <w:rFonts w:asciiTheme="majorBidi" w:hAnsiTheme="majorBidi" w:cstheme="majorBidi"/>
        </w:rPr>
        <w:t>October 21)</w:t>
      </w:r>
    </w:p>
    <w:p w14:paraId="7161CC71" w14:textId="09DEC4DE" w:rsidR="002F1D2C" w:rsidRPr="006C4A5E" w:rsidRDefault="002F1D2C" w:rsidP="002F1D2C">
      <w:pPr>
        <w:numPr>
          <w:ilvl w:val="0"/>
          <w:numId w:val="13"/>
        </w:numPr>
        <w:rPr>
          <w:rFonts w:asciiTheme="majorBidi" w:hAnsiTheme="majorBidi" w:cstheme="majorBidi"/>
          <w:bCs/>
        </w:rPr>
      </w:pPr>
      <w:r w:rsidRPr="006C4A5E">
        <w:rPr>
          <w:rFonts w:asciiTheme="majorBidi" w:hAnsiTheme="majorBidi" w:cstheme="majorBidi"/>
        </w:rPr>
        <w:t>20</w:t>
      </w:r>
      <w:r w:rsidR="00210E59">
        <w:rPr>
          <w:rFonts w:asciiTheme="majorBidi" w:hAnsiTheme="majorBidi" w:cstheme="majorBidi"/>
        </w:rPr>
        <w:t>22</w:t>
      </w:r>
      <w:r w:rsidRPr="006C4A5E">
        <w:rPr>
          <w:rFonts w:asciiTheme="majorBidi" w:hAnsiTheme="majorBidi" w:cstheme="majorBidi"/>
        </w:rPr>
        <w:t xml:space="preserve"> Ponemon Institute: Keeper Report </w:t>
      </w:r>
    </w:p>
    <w:p w14:paraId="5C11426D" w14:textId="1D2E4024" w:rsidR="002F1D2C" w:rsidRDefault="002F1D2C" w:rsidP="00CF73F6">
      <w:pPr>
        <w:rPr>
          <w:rFonts w:asciiTheme="majorBidi" w:hAnsiTheme="majorBidi" w:cstheme="majorBidi"/>
        </w:rPr>
      </w:pPr>
    </w:p>
    <w:p w14:paraId="125F782D" w14:textId="6DF13D13" w:rsidR="002F1D2C" w:rsidRDefault="002F1D2C" w:rsidP="00CF73F6">
      <w:pPr>
        <w:rPr>
          <w:rFonts w:asciiTheme="majorBidi" w:hAnsiTheme="majorBidi" w:cstheme="majorBidi"/>
        </w:rPr>
      </w:pPr>
      <w:r>
        <w:rPr>
          <w:rFonts w:asciiTheme="majorBidi" w:hAnsiTheme="majorBidi" w:cstheme="majorBidi"/>
        </w:rPr>
        <w:t>Session 6 (October 22)</w:t>
      </w:r>
    </w:p>
    <w:p w14:paraId="5AC0E58E" w14:textId="23058324" w:rsidR="002F1D2C" w:rsidRPr="002F1D2C" w:rsidRDefault="002F1D2C" w:rsidP="002F1D2C">
      <w:pPr>
        <w:pStyle w:val="ListParagraph"/>
        <w:numPr>
          <w:ilvl w:val="0"/>
          <w:numId w:val="13"/>
        </w:numPr>
        <w:rPr>
          <w:rFonts w:asciiTheme="majorBidi" w:hAnsiTheme="majorBidi" w:cstheme="majorBidi"/>
        </w:rPr>
      </w:pPr>
      <w:r w:rsidRPr="002F1D2C">
        <w:rPr>
          <w:rFonts w:asciiTheme="majorBidi" w:hAnsiTheme="majorBidi" w:cstheme="majorBidi"/>
          <w:bCs/>
        </w:rPr>
        <w:t>20</w:t>
      </w:r>
      <w:r w:rsidR="00210E59">
        <w:rPr>
          <w:rFonts w:asciiTheme="majorBidi" w:hAnsiTheme="majorBidi" w:cstheme="majorBidi"/>
          <w:bCs/>
        </w:rPr>
        <w:t>22</w:t>
      </w:r>
      <w:r w:rsidRPr="002F1D2C">
        <w:rPr>
          <w:rFonts w:asciiTheme="majorBidi" w:hAnsiTheme="majorBidi" w:cstheme="majorBidi"/>
          <w:bCs/>
        </w:rPr>
        <w:t xml:space="preserve"> Verizon: Data Breach Investigations Report</w:t>
      </w:r>
    </w:p>
    <w:p w14:paraId="7230036D" w14:textId="77777777" w:rsidR="002F1D2C" w:rsidRDefault="002F1D2C" w:rsidP="00CF73F6">
      <w:pPr>
        <w:rPr>
          <w:rFonts w:asciiTheme="majorBidi" w:hAnsiTheme="majorBidi" w:cstheme="majorBidi"/>
        </w:rPr>
      </w:pPr>
    </w:p>
    <w:p w14:paraId="104C4A7A" w14:textId="76E9990A" w:rsidR="002F1D2C" w:rsidRDefault="002F1D2C" w:rsidP="00CF73F6">
      <w:pPr>
        <w:rPr>
          <w:rFonts w:asciiTheme="majorBidi" w:hAnsiTheme="majorBidi" w:cstheme="majorBidi"/>
        </w:rPr>
      </w:pPr>
      <w:r>
        <w:rPr>
          <w:rFonts w:asciiTheme="majorBidi" w:hAnsiTheme="majorBidi" w:cstheme="majorBidi"/>
        </w:rPr>
        <w:t>Session 7 (November 18)</w:t>
      </w:r>
    </w:p>
    <w:p w14:paraId="7584CF70" w14:textId="27ECA9B8" w:rsidR="002F1D2C" w:rsidRPr="002F1D2C" w:rsidRDefault="002F1D2C" w:rsidP="00CF73F6">
      <w:pPr>
        <w:numPr>
          <w:ilvl w:val="0"/>
          <w:numId w:val="13"/>
        </w:numPr>
        <w:rPr>
          <w:rFonts w:asciiTheme="majorBidi" w:hAnsiTheme="majorBidi" w:cstheme="majorBidi"/>
          <w:bCs/>
        </w:rPr>
      </w:pPr>
      <w:r w:rsidRPr="006C4A5E">
        <w:rPr>
          <w:rFonts w:asciiTheme="majorBidi" w:hAnsiTheme="majorBidi" w:cstheme="majorBidi"/>
          <w:i/>
        </w:rPr>
        <w:t xml:space="preserve">The Steps CIOs Must Take To Deal With Ransomware Attacks Like The One That Hit Garmin </w:t>
      </w:r>
      <w:r w:rsidRPr="006C4A5E">
        <w:rPr>
          <w:rFonts w:asciiTheme="majorBidi" w:hAnsiTheme="majorBidi" w:cstheme="majorBidi"/>
        </w:rPr>
        <w:t>(2020, Forbes)</w:t>
      </w:r>
    </w:p>
    <w:p w14:paraId="248AC2FD" w14:textId="77777777" w:rsidR="002F1D2C" w:rsidRDefault="002F1D2C" w:rsidP="00CF73F6">
      <w:pPr>
        <w:rPr>
          <w:rFonts w:asciiTheme="majorBidi" w:hAnsiTheme="majorBidi" w:cstheme="majorBidi"/>
        </w:rPr>
      </w:pPr>
    </w:p>
    <w:p w14:paraId="30DB69C7" w14:textId="0862C6CD" w:rsidR="002F1D2C" w:rsidRPr="006C4A5E" w:rsidRDefault="002F1D2C" w:rsidP="00CF73F6">
      <w:pPr>
        <w:rPr>
          <w:rFonts w:asciiTheme="majorBidi" w:hAnsiTheme="majorBidi" w:cstheme="majorBidi"/>
        </w:rPr>
      </w:pPr>
      <w:r>
        <w:rPr>
          <w:rFonts w:asciiTheme="majorBidi" w:hAnsiTheme="majorBidi" w:cstheme="majorBidi"/>
        </w:rPr>
        <w:t>Session 8 (November 19)</w:t>
      </w:r>
    </w:p>
    <w:p w14:paraId="362DA5DD" w14:textId="07EBE7D2" w:rsidR="002F1D2C" w:rsidRPr="006C4A5E" w:rsidRDefault="002F1D2C" w:rsidP="002F1D2C">
      <w:pPr>
        <w:numPr>
          <w:ilvl w:val="0"/>
          <w:numId w:val="13"/>
        </w:numPr>
        <w:rPr>
          <w:rFonts w:asciiTheme="majorBidi" w:hAnsiTheme="majorBidi" w:cstheme="majorBidi"/>
          <w:bCs/>
        </w:rPr>
      </w:pPr>
      <w:r w:rsidRPr="006C4A5E">
        <w:rPr>
          <w:rFonts w:asciiTheme="majorBidi" w:hAnsiTheme="majorBidi" w:cstheme="majorBidi"/>
          <w:i/>
        </w:rPr>
        <w:t xml:space="preserve">What Is the Real Cost of a Data Breach? New Report Indicates It’s About $4 Million to $9 Million for SMEs </w:t>
      </w:r>
      <w:r w:rsidRPr="006C4A5E">
        <w:rPr>
          <w:rFonts w:asciiTheme="majorBidi" w:hAnsiTheme="majorBidi" w:cstheme="majorBidi"/>
        </w:rPr>
        <w:t>(2020, CPO Magazine)</w:t>
      </w:r>
    </w:p>
    <w:p w14:paraId="096A2A7C" w14:textId="1D9164FF" w:rsidR="006C4A5E" w:rsidRDefault="006C4A5E" w:rsidP="006C4A5E">
      <w:pPr>
        <w:ind w:left="360" w:hanging="360"/>
        <w:rPr>
          <w:rFonts w:asciiTheme="majorBidi" w:hAnsiTheme="majorBidi" w:cstheme="majorBidi"/>
        </w:rPr>
      </w:pPr>
    </w:p>
    <w:p w14:paraId="46B98379" w14:textId="29601E66" w:rsidR="006C4A5E" w:rsidRDefault="002F1D2C" w:rsidP="006C4A5E">
      <w:pPr>
        <w:ind w:left="360" w:hanging="360"/>
        <w:rPr>
          <w:rFonts w:asciiTheme="majorBidi" w:hAnsiTheme="majorBidi" w:cstheme="majorBidi"/>
        </w:rPr>
      </w:pPr>
      <w:r>
        <w:rPr>
          <w:rFonts w:asciiTheme="majorBidi" w:hAnsiTheme="majorBidi" w:cstheme="majorBidi"/>
        </w:rPr>
        <w:t>Session 9 (December 9)</w:t>
      </w:r>
    </w:p>
    <w:p w14:paraId="7B859814" w14:textId="77777777" w:rsidR="00C12D39" w:rsidRPr="006C4A5E" w:rsidRDefault="00C12D39" w:rsidP="00C12D39">
      <w:pPr>
        <w:ind w:left="360" w:hanging="360"/>
        <w:rPr>
          <w:rFonts w:asciiTheme="majorBidi" w:hAnsiTheme="majorBidi" w:cstheme="majorBidi"/>
        </w:rPr>
      </w:pPr>
      <w:r w:rsidRPr="006C4A5E">
        <w:rPr>
          <w:rFonts w:asciiTheme="majorBidi" w:hAnsiTheme="majorBidi" w:cstheme="majorBidi"/>
        </w:rPr>
        <w:t xml:space="preserve">Selected chapters from L. Camp and M. Johnson (2012).  </w:t>
      </w:r>
      <w:r w:rsidRPr="006C4A5E">
        <w:rPr>
          <w:rFonts w:asciiTheme="majorBidi" w:hAnsiTheme="majorBidi" w:cstheme="majorBidi"/>
          <w:i/>
        </w:rPr>
        <w:t>The Economics of Financial and Medical Identity Theft</w:t>
      </w:r>
      <w:r w:rsidRPr="006C4A5E">
        <w:rPr>
          <w:rFonts w:asciiTheme="majorBidi" w:hAnsiTheme="majorBidi" w:cstheme="majorBidi"/>
        </w:rPr>
        <w:t xml:space="preserve"> </w:t>
      </w:r>
    </w:p>
    <w:p w14:paraId="623B5C5B" w14:textId="77777777" w:rsidR="00C12D39" w:rsidRDefault="00C12D39" w:rsidP="00C12D39">
      <w:pPr>
        <w:rPr>
          <w:rFonts w:asciiTheme="majorBidi" w:hAnsiTheme="majorBidi" w:cstheme="majorBidi"/>
        </w:rPr>
      </w:pPr>
    </w:p>
    <w:p w14:paraId="3EC80BD1" w14:textId="0692CD85" w:rsidR="002F1D2C" w:rsidRPr="006C4A5E" w:rsidRDefault="002F1D2C" w:rsidP="006C4A5E">
      <w:pPr>
        <w:ind w:left="360" w:hanging="360"/>
        <w:rPr>
          <w:rFonts w:asciiTheme="majorBidi" w:hAnsiTheme="majorBidi" w:cstheme="majorBidi"/>
        </w:rPr>
      </w:pPr>
      <w:r>
        <w:rPr>
          <w:rFonts w:asciiTheme="majorBidi" w:hAnsiTheme="majorBidi" w:cstheme="majorBidi"/>
        </w:rPr>
        <w:t>Session 10 (December 10)</w:t>
      </w:r>
    </w:p>
    <w:p w14:paraId="59EFBA1E" w14:textId="77777777" w:rsidR="006C4A5E" w:rsidRPr="006C4A5E" w:rsidRDefault="006C4A5E" w:rsidP="00C12D39">
      <w:pPr>
        <w:rPr>
          <w:rFonts w:asciiTheme="majorBidi" w:hAnsiTheme="majorBidi" w:cstheme="majorBidi"/>
        </w:rPr>
      </w:pPr>
      <w:r w:rsidRPr="006C4A5E">
        <w:rPr>
          <w:rFonts w:asciiTheme="majorBidi" w:hAnsiTheme="majorBidi" w:cstheme="majorBidi"/>
        </w:rPr>
        <w:t>Wehbé, “OPM Data Breach Case Study: Mitigating Personnel Security Risk” (2017)</w:t>
      </w:r>
    </w:p>
    <w:p w14:paraId="5CC3E7D0" w14:textId="77777777" w:rsidR="006C4A5E" w:rsidRPr="006C4A5E" w:rsidRDefault="006C4A5E" w:rsidP="006C4A5E">
      <w:pPr>
        <w:ind w:left="360" w:hanging="360"/>
        <w:rPr>
          <w:rFonts w:asciiTheme="majorBidi" w:hAnsiTheme="majorBidi" w:cstheme="majorBidi"/>
        </w:rPr>
      </w:pPr>
      <w:r w:rsidRPr="006C4A5E">
        <w:rPr>
          <w:rFonts w:asciiTheme="majorBidi" w:hAnsiTheme="majorBidi" w:cstheme="majorBidi"/>
        </w:rPr>
        <w:t>Seeley, “Once More Unto the Breach: The Constitutional Right to Informational Privacy and the Privacy Act” (2016)</w:t>
      </w:r>
    </w:p>
    <w:p w14:paraId="2CE3CB19" w14:textId="62A10B60" w:rsidR="004025DB" w:rsidRPr="00852AD5" w:rsidRDefault="004025DB" w:rsidP="006C4A5E">
      <w:pPr>
        <w:ind w:left="360" w:hanging="360"/>
        <w:rPr>
          <w:rFonts w:asciiTheme="majorBidi" w:hAnsiTheme="majorBidi" w:cstheme="majorBidi"/>
        </w:rPr>
      </w:pPr>
    </w:p>
    <w:p w14:paraId="69766288" w14:textId="3466C0DA" w:rsidR="00BD5B33" w:rsidRPr="00852AD5" w:rsidRDefault="00BD5B33" w:rsidP="00DA2425">
      <w:pPr>
        <w:ind w:left="360" w:hanging="360"/>
        <w:rPr>
          <w:rFonts w:asciiTheme="majorBidi" w:hAnsiTheme="majorBidi" w:cstheme="majorBidi"/>
        </w:rPr>
      </w:pPr>
    </w:p>
    <w:p w14:paraId="650129AF" w14:textId="05C35BA2" w:rsidR="004025DB" w:rsidRPr="00852AD5" w:rsidRDefault="004025DB" w:rsidP="00170F9F">
      <w:pPr>
        <w:pStyle w:val="Heading1"/>
      </w:pPr>
      <w:r w:rsidRPr="00852AD5">
        <w:lastRenderedPageBreak/>
        <w:t>Course Meeting Dates and Times:</w:t>
      </w:r>
    </w:p>
    <w:tbl>
      <w:tblPr>
        <w:tblW w:w="0" w:type="auto"/>
        <w:tblLook w:val="04A0" w:firstRow="1" w:lastRow="0" w:firstColumn="1" w:lastColumn="0" w:noHBand="0" w:noVBand="1"/>
      </w:tblPr>
      <w:tblGrid>
        <w:gridCol w:w="1069"/>
        <w:gridCol w:w="1776"/>
        <w:gridCol w:w="1350"/>
        <w:gridCol w:w="3576"/>
      </w:tblGrid>
      <w:tr w:rsidR="00A27318" w:rsidRPr="00D36513" w14:paraId="680D194A" w14:textId="77777777" w:rsidTr="009535C4">
        <w:trPr>
          <w:trHeight w:val="362"/>
        </w:trPr>
        <w:tc>
          <w:tcPr>
            <w:tcW w:w="0" w:type="auto"/>
            <w:tcBorders>
              <w:top w:val="nil"/>
              <w:left w:val="nil"/>
              <w:bottom w:val="nil"/>
              <w:right w:val="single" w:sz="8" w:space="0" w:color="auto"/>
            </w:tcBorders>
            <w:shd w:val="clear" w:color="auto" w:fill="B8CCE4"/>
            <w:vAlign w:val="center"/>
          </w:tcPr>
          <w:p w14:paraId="6998FFAF" w14:textId="77777777" w:rsidR="00A27318" w:rsidRPr="00D36513" w:rsidRDefault="00A27318" w:rsidP="009535C4">
            <w:pPr>
              <w:pStyle w:val="NormalWeb"/>
              <w:jc w:val="center"/>
              <w:rPr>
                <w:rFonts w:ascii="Avenir Book" w:hAnsi="Avenir Book"/>
                <w:color w:val="000000"/>
                <w:sz w:val="20"/>
                <w:szCs w:val="20"/>
              </w:rPr>
            </w:pPr>
            <w:r w:rsidRPr="00D36513">
              <w:rPr>
                <w:rFonts w:ascii="Avenir Book" w:hAnsi="Avenir Book"/>
                <w:color w:val="000000"/>
                <w:sz w:val="20"/>
                <w:szCs w:val="20"/>
              </w:rPr>
              <w:t>Weekend</w:t>
            </w:r>
          </w:p>
        </w:tc>
        <w:tc>
          <w:tcPr>
            <w:tcW w:w="0" w:type="auto"/>
            <w:tcBorders>
              <w:top w:val="nil"/>
              <w:left w:val="nil"/>
              <w:bottom w:val="nil"/>
              <w:right w:val="single" w:sz="12" w:space="0" w:color="auto"/>
            </w:tcBorders>
            <w:shd w:val="clear" w:color="auto" w:fill="B8CCE4"/>
            <w:vAlign w:val="center"/>
          </w:tcPr>
          <w:p w14:paraId="2D95C746" w14:textId="77777777" w:rsidR="00A27318" w:rsidRPr="00D36513" w:rsidRDefault="00A27318" w:rsidP="009535C4">
            <w:pPr>
              <w:pStyle w:val="NormalWeb"/>
              <w:jc w:val="center"/>
              <w:rPr>
                <w:rFonts w:ascii="Avenir Book" w:hAnsi="Avenir Book"/>
                <w:color w:val="000000"/>
                <w:sz w:val="20"/>
                <w:szCs w:val="20"/>
              </w:rPr>
            </w:pPr>
            <w:r w:rsidRPr="00D36513">
              <w:rPr>
                <w:rFonts w:ascii="Avenir Book" w:hAnsi="Avenir Book"/>
                <w:color w:val="000000"/>
                <w:sz w:val="20"/>
                <w:szCs w:val="20"/>
              </w:rPr>
              <w:t>Dates</w:t>
            </w:r>
          </w:p>
        </w:tc>
        <w:tc>
          <w:tcPr>
            <w:tcW w:w="0" w:type="auto"/>
            <w:tcBorders>
              <w:top w:val="nil"/>
              <w:left w:val="nil"/>
              <w:bottom w:val="nil"/>
              <w:right w:val="nil"/>
            </w:tcBorders>
            <w:shd w:val="clear" w:color="auto" w:fill="B8CCE4"/>
          </w:tcPr>
          <w:p w14:paraId="660A9514" w14:textId="77777777" w:rsidR="00A27318" w:rsidRPr="00D36513" w:rsidRDefault="00A27318" w:rsidP="009535C4">
            <w:pPr>
              <w:pStyle w:val="NormalWeb"/>
              <w:jc w:val="center"/>
              <w:rPr>
                <w:rFonts w:ascii="Avenir Book" w:hAnsi="Avenir Book"/>
                <w:color w:val="000000"/>
                <w:sz w:val="20"/>
                <w:szCs w:val="20"/>
              </w:rPr>
            </w:pPr>
            <w:r>
              <w:rPr>
                <w:rFonts w:ascii="Avenir Book" w:hAnsi="Avenir Book"/>
                <w:color w:val="000000"/>
                <w:sz w:val="20"/>
                <w:szCs w:val="20"/>
              </w:rPr>
              <w:t>Times</w:t>
            </w:r>
          </w:p>
        </w:tc>
        <w:tc>
          <w:tcPr>
            <w:tcW w:w="0" w:type="auto"/>
            <w:tcBorders>
              <w:top w:val="nil"/>
              <w:left w:val="nil"/>
              <w:bottom w:val="nil"/>
              <w:right w:val="single" w:sz="12" w:space="0" w:color="auto"/>
            </w:tcBorders>
            <w:shd w:val="clear" w:color="auto" w:fill="B8CCE4"/>
          </w:tcPr>
          <w:p w14:paraId="3F061980" w14:textId="77777777" w:rsidR="00A27318" w:rsidRPr="00D36513" w:rsidRDefault="00A27318" w:rsidP="009535C4">
            <w:pPr>
              <w:pStyle w:val="NormalWeb"/>
              <w:jc w:val="center"/>
              <w:rPr>
                <w:rFonts w:ascii="Avenir Book" w:hAnsi="Avenir Book"/>
                <w:color w:val="000000"/>
                <w:sz w:val="20"/>
                <w:szCs w:val="20"/>
              </w:rPr>
            </w:pPr>
            <w:r w:rsidRPr="00D36513">
              <w:rPr>
                <w:rFonts w:ascii="Avenir Book" w:hAnsi="Avenir Book"/>
                <w:color w:val="000000"/>
                <w:sz w:val="20"/>
                <w:szCs w:val="20"/>
              </w:rPr>
              <w:t>Zoom link</w:t>
            </w:r>
          </w:p>
        </w:tc>
      </w:tr>
      <w:tr w:rsidR="00A27318" w:rsidRPr="00D36513" w14:paraId="159BE59A" w14:textId="77777777" w:rsidTr="009535C4">
        <w:trPr>
          <w:trHeight w:val="362"/>
        </w:trPr>
        <w:tc>
          <w:tcPr>
            <w:tcW w:w="0" w:type="auto"/>
            <w:tcBorders>
              <w:top w:val="nil"/>
              <w:left w:val="nil"/>
              <w:bottom w:val="nil"/>
              <w:right w:val="single" w:sz="8" w:space="0" w:color="auto"/>
            </w:tcBorders>
            <w:shd w:val="clear" w:color="auto" w:fill="B8CCE4"/>
            <w:vAlign w:val="center"/>
            <w:hideMark/>
          </w:tcPr>
          <w:p w14:paraId="59902B42" w14:textId="77777777" w:rsidR="00A27318" w:rsidRPr="00D36513" w:rsidRDefault="00A27318" w:rsidP="009535C4">
            <w:pPr>
              <w:pStyle w:val="NormalWeb"/>
              <w:jc w:val="center"/>
              <w:rPr>
                <w:rFonts w:ascii="Calibri" w:hAnsi="Calibri"/>
                <w:sz w:val="20"/>
                <w:szCs w:val="20"/>
              </w:rPr>
            </w:pPr>
            <w:r w:rsidRPr="00D36513">
              <w:rPr>
                <w:rFonts w:ascii="Avenir Book" w:hAnsi="Avenir Book"/>
                <w:color w:val="000000"/>
                <w:sz w:val="20"/>
                <w:szCs w:val="20"/>
              </w:rPr>
              <w:t>1</w:t>
            </w:r>
          </w:p>
        </w:tc>
        <w:tc>
          <w:tcPr>
            <w:tcW w:w="0" w:type="auto"/>
            <w:tcBorders>
              <w:top w:val="nil"/>
              <w:left w:val="nil"/>
              <w:bottom w:val="nil"/>
              <w:right w:val="single" w:sz="12" w:space="0" w:color="auto"/>
            </w:tcBorders>
            <w:shd w:val="clear" w:color="auto" w:fill="B8CCE4"/>
            <w:vAlign w:val="center"/>
            <w:hideMark/>
          </w:tcPr>
          <w:p w14:paraId="0AD87B17" w14:textId="652081B3" w:rsidR="00A27318" w:rsidRPr="00D36513" w:rsidRDefault="00A27318" w:rsidP="009535C4">
            <w:pPr>
              <w:pStyle w:val="NormalWeb"/>
              <w:jc w:val="center"/>
              <w:rPr>
                <w:rFonts w:ascii="Calibri" w:hAnsi="Calibri"/>
                <w:sz w:val="20"/>
                <w:szCs w:val="20"/>
              </w:rPr>
            </w:pPr>
            <w:r w:rsidRPr="00D36513">
              <w:rPr>
                <w:rFonts w:ascii="Avenir Book" w:hAnsi="Avenir Book"/>
                <w:color w:val="000000"/>
                <w:sz w:val="20"/>
                <w:szCs w:val="20"/>
              </w:rPr>
              <w:t>August 2</w:t>
            </w:r>
            <w:r>
              <w:rPr>
                <w:rFonts w:ascii="Avenir Book" w:hAnsi="Avenir Book"/>
                <w:color w:val="000000"/>
                <w:sz w:val="20"/>
                <w:szCs w:val="20"/>
              </w:rPr>
              <w:t>6-27</w:t>
            </w:r>
          </w:p>
        </w:tc>
        <w:tc>
          <w:tcPr>
            <w:tcW w:w="0" w:type="auto"/>
            <w:tcBorders>
              <w:top w:val="nil"/>
              <w:left w:val="nil"/>
              <w:bottom w:val="nil"/>
              <w:right w:val="nil"/>
            </w:tcBorders>
            <w:shd w:val="clear" w:color="auto" w:fill="B8CCE4"/>
          </w:tcPr>
          <w:p w14:paraId="2DF6DB5A" w14:textId="30CD1102" w:rsidR="00A27318" w:rsidRPr="00D36513" w:rsidRDefault="00A27318" w:rsidP="009535C4">
            <w:pPr>
              <w:pStyle w:val="NormalWeb"/>
              <w:rPr>
                <w:rFonts w:ascii="Avenir Book" w:hAnsi="Avenir Book"/>
                <w:color w:val="000000"/>
                <w:sz w:val="20"/>
                <w:szCs w:val="20"/>
              </w:rPr>
            </w:pPr>
            <w:r>
              <w:rPr>
                <w:rFonts w:ascii="Avenir Book" w:hAnsi="Avenir Book"/>
                <w:color w:val="000000"/>
                <w:sz w:val="20"/>
                <w:szCs w:val="20"/>
              </w:rPr>
              <w:t>8am-12noon</w:t>
            </w:r>
          </w:p>
        </w:tc>
        <w:tc>
          <w:tcPr>
            <w:tcW w:w="0" w:type="auto"/>
            <w:tcBorders>
              <w:top w:val="nil"/>
              <w:left w:val="nil"/>
              <w:bottom w:val="nil"/>
              <w:right w:val="single" w:sz="12" w:space="0" w:color="auto"/>
            </w:tcBorders>
            <w:shd w:val="clear" w:color="auto" w:fill="B8CCE4"/>
          </w:tcPr>
          <w:p w14:paraId="7249D5CC" w14:textId="77777777" w:rsidR="00A27318" w:rsidRPr="00D36513" w:rsidRDefault="00A27318" w:rsidP="009535C4">
            <w:pPr>
              <w:pStyle w:val="NormalWeb"/>
              <w:rPr>
                <w:rFonts w:ascii="Avenir Book" w:hAnsi="Avenir Book"/>
                <w:color w:val="000000"/>
                <w:sz w:val="20"/>
                <w:szCs w:val="20"/>
              </w:rPr>
            </w:pPr>
            <w:r w:rsidRPr="00D36513">
              <w:rPr>
                <w:rFonts w:ascii="Avenir Book" w:hAnsi="Avenir Book"/>
                <w:color w:val="000000"/>
                <w:sz w:val="20"/>
                <w:szCs w:val="20"/>
              </w:rPr>
              <w:t>To be posted on Canvas/Zoom folder</w:t>
            </w:r>
          </w:p>
        </w:tc>
      </w:tr>
      <w:tr w:rsidR="00A27318" w:rsidRPr="00D36513" w14:paraId="54B12230" w14:textId="77777777" w:rsidTr="009535C4">
        <w:trPr>
          <w:trHeight w:val="335"/>
        </w:trPr>
        <w:tc>
          <w:tcPr>
            <w:tcW w:w="0" w:type="auto"/>
            <w:tcBorders>
              <w:top w:val="nil"/>
              <w:left w:val="nil"/>
              <w:bottom w:val="nil"/>
              <w:right w:val="single" w:sz="8" w:space="0" w:color="auto"/>
            </w:tcBorders>
            <w:shd w:val="clear" w:color="auto" w:fill="D9D9D9"/>
            <w:vAlign w:val="center"/>
            <w:hideMark/>
          </w:tcPr>
          <w:p w14:paraId="18C40D67" w14:textId="77777777" w:rsidR="00A27318" w:rsidRPr="00D36513" w:rsidRDefault="00A27318" w:rsidP="009535C4">
            <w:pPr>
              <w:pStyle w:val="NormalWeb"/>
              <w:jc w:val="center"/>
              <w:rPr>
                <w:rFonts w:ascii="Calibri" w:hAnsi="Calibri"/>
                <w:sz w:val="20"/>
                <w:szCs w:val="20"/>
              </w:rPr>
            </w:pPr>
            <w:r w:rsidRPr="00D36513">
              <w:rPr>
                <w:rFonts w:ascii="Avenir Book" w:hAnsi="Avenir Book"/>
                <w:color w:val="000000"/>
                <w:sz w:val="20"/>
                <w:szCs w:val="20"/>
              </w:rPr>
              <w:t>2</w:t>
            </w:r>
          </w:p>
        </w:tc>
        <w:tc>
          <w:tcPr>
            <w:tcW w:w="0" w:type="auto"/>
            <w:tcBorders>
              <w:top w:val="nil"/>
              <w:left w:val="nil"/>
              <w:bottom w:val="nil"/>
              <w:right w:val="single" w:sz="12" w:space="0" w:color="auto"/>
            </w:tcBorders>
            <w:shd w:val="clear" w:color="auto" w:fill="D9D9D9"/>
            <w:vAlign w:val="center"/>
            <w:hideMark/>
          </w:tcPr>
          <w:p w14:paraId="3442F4B2" w14:textId="7C9CFD6F" w:rsidR="00A27318" w:rsidRPr="00D36513" w:rsidRDefault="00A27318" w:rsidP="009535C4">
            <w:pPr>
              <w:pStyle w:val="NormalWeb"/>
              <w:jc w:val="center"/>
              <w:rPr>
                <w:rFonts w:ascii="Calibri" w:hAnsi="Calibri"/>
                <w:sz w:val="20"/>
                <w:szCs w:val="20"/>
              </w:rPr>
            </w:pPr>
            <w:r w:rsidRPr="00D36513">
              <w:rPr>
                <w:rFonts w:ascii="Avenir Book" w:hAnsi="Avenir Book"/>
                <w:color w:val="000000"/>
                <w:sz w:val="20"/>
                <w:szCs w:val="20"/>
              </w:rPr>
              <w:t>September 2</w:t>
            </w:r>
            <w:r w:rsidR="007B0FC8">
              <w:rPr>
                <w:rFonts w:ascii="Avenir Book" w:hAnsi="Avenir Book"/>
                <w:color w:val="000000"/>
                <w:sz w:val="20"/>
                <w:szCs w:val="20"/>
              </w:rPr>
              <w:t>3-24</w:t>
            </w:r>
          </w:p>
        </w:tc>
        <w:tc>
          <w:tcPr>
            <w:tcW w:w="0" w:type="auto"/>
            <w:tcBorders>
              <w:top w:val="nil"/>
              <w:left w:val="nil"/>
              <w:bottom w:val="nil"/>
              <w:right w:val="nil"/>
            </w:tcBorders>
            <w:shd w:val="clear" w:color="auto" w:fill="D9D9D9"/>
          </w:tcPr>
          <w:p w14:paraId="07B2270F" w14:textId="7AF0147B" w:rsidR="00A27318" w:rsidRPr="00D36513" w:rsidRDefault="007B0FC8" w:rsidP="009535C4">
            <w:pPr>
              <w:pStyle w:val="NormalWeb"/>
              <w:rPr>
                <w:rFonts w:ascii="Avenir Book" w:hAnsi="Avenir Book"/>
                <w:color w:val="000000"/>
                <w:sz w:val="20"/>
                <w:szCs w:val="20"/>
              </w:rPr>
            </w:pPr>
            <w:r>
              <w:rPr>
                <w:rFonts w:ascii="Avenir Book" w:hAnsi="Avenir Book"/>
                <w:color w:val="000000"/>
                <w:sz w:val="20"/>
                <w:szCs w:val="20"/>
              </w:rPr>
              <w:t>8am-12noon</w:t>
            </w:r>
          </w:p>
        </w:tc>
        <w:tc>
          <w:tcPr>
            <w:tcW w:w="0" w:type="auto"/>
            <w:tcBorders>
              <w:top w:val="nil"/>
              <w:left w:val="nil"/>
              <w:bottom w:val="nil"/>
              <w:right w:val="single" w:sz="12" w:space="0" w:color="auto"/>
            </w:tcBorders>
            <w:shd w:val="clear" w:color="auto" w:fill="D9D9D9"/>
          </w:tcPr>
          <w:p w14:paraId="58912E7C" w14:textId="77777777" w:rsidR="00A27318" w:rsidRPr="00D36513" w:rsidRDefault="00A27318" w:rsidP="009535C4">
            <w:pPr>
              <w:pStyle w:val="NormalWeb"/>
              <w:rPr>
                <w:rFonts w:ascii="Avenir Book" w:hAnsi="Avenir Book"/>
                <w:color w:val="000000"/>
                <w:sz w:val="20"/>
                <w:szCs w:val="20"/>
              </w:rPr>
            </w:pPr>
            <w:r w:rsidRPr="00D36513">
              <w:rPr>
                <w:rFonts w:ascii="Avenir Book" w:hAnsi="Avenir Book"/>
                <w:color w:val="000000"/>
                <w:sz w:val="20"/>
                <w:szCs w:val="20"/>
              </w:rPr>
              <w:t>To be posted on Canvas/Zoom folder</w:t>
            </w:r>
          </w:p>
        </w:tc>
      </w:tr>
      <w:tr w:rsidR="00A27318" w:rsidRPr="00D36513" w14:paraId="635A6699" w14:textId="77777777" w:rsidTr="009535C4">
        <w:trPr>
          <w:trHeight w:val="335"/>
        </w:trPr>
        <w:tc>
          <w:tcPr>
            <w:tcW w:w="0" w:type="auto"/>
            <w:tcBorders>
              <w:top w:val="nil"/>
              <w:left w:val="nil"/>
              <w:bottom w:val="nil"/>
              <w:right w:val="single" w:sz="8" w:space="0" w:color="auto"/>
            </w:tcBorders>
            <w:shd w:val="clear" w:color="auto" w:fill="B8CCE4"/>
            <w:vAlign w:val="center"/>
            <w:hideMark/>
          </w:tcPr>
          <w:p w14:paraId="2A796ECB" w14:textId="77777777" w:rsidR="00A27318" w:rsidRPr="00D36513" w:rsidRDefault="00A27318" w:rsidP="009535C4">
            <w:pPr>
              <w:pStyle w:val="NormalWeb"/>
              <w:jc w:val="center"/>
              <w:rPr>
                <w:rFonts w:ascii="Calibri" w:hAnsi="Calibri"/>
                <w:sz w:val="20"/>
                <w:szCs w:val="20"/>
              </w:rPr>
            </w:pPr>
            <w:r w:rsidRPr="00D36513">
              <w:rPr>
                <w:rFonts w:ascii="Avenir Book" w:hAnsi="Avenir Book"/>
                <w:color w:val="000000"/>
                <w:sz w:val="20"/>
                <w:szCs w:val="20"/>
              </w:rPr>
              <w:t>3</w:t>
            </w:r>
          </w:p>
        </w:tc>
        <w:tc>
          <w:tcPr>
            <w:tcW w:w="0" w:type="auto"/>
            <w:tcBorders>
              <w:top w:val="nil"/>
              <w:left w:val="nil"/>
              <w:bottom w:val="nil"/>
              <w:right w:val="single" w:sz="12" w:space="0" w:color="auto"/>
            </w:tcBorders>
            <w:shd w:val="clear" w:color="auto" w:fill="B8CCE4"/>
            <w:vAlign w:val="center"/>
            <w:hideMark/>
          </w:tcPr>
          <w:p w14:paraId="0F9C360B" w14:textId="6123258D" w:rsidR="00A27318" w:rsidRPr="00D36513" w:rsidRDefault="00A27318" w:rsidP="009535C4">
            <w:pPr>
              <w:pStyle w:val="NormalWeb"/>
              <w:jc w:val="center"/>
              <w:rPr>
                <w:rFonts w:ascii="Calibri" w:hAnsi="Calibri"/>
                <w:sz w:val="20"/>
                <w:szCs w:val="20"/>
              </w:rPr>
            </w:pPr>
            <w:r w:rsidRPr="00D36513">
              <w:rPr>
                <w:rFonts w:ascii="Avenir Book" w:hAnsi="Avenir Book"/>
                <w:color w:val="000000"/>
                <w:sz w:val="20"/>
                <w:szCs w:val="20"/>
              </w:rPr>
              <w:t xml:space="preserve">October </w:t>
            </w:r>
            <w:r w:rsidR="007B0FC8">
              <w:rPr>
                <w:rFonts w:ascii="Avenir Book" w:hAnsi="Avenir Book"/>
                <w:color w:val="000000"/>
                <w:sz w:val="20"/>
                <w:szCs w:val="20"/>
              </w:rPr>
              <w:t>21-22</w:t>
            </w:r>
          </w:p>
        </w:tc>
        <w:tc>
          <w:tcPr>
            <w:tcW w:w="0" w:type="auto"/>
            <w:tcBorders>
              <w:top w:val="nil"/>
              <w:left w:val="nil"/>
              <w:bottom w:val="nil"/>
              <w:right w:val="nil"/>
            </w:tcBorders>
            <w:shd w:val="clear" w:color="auto" w:fill="B8CCE4"/>
          </w:tcPr>
          <w:p w14:paraId="76D204BB" w14:textId="523FB40E" w:rsidR="00A27318" w:rsidRPr="00D36513" w:rsidRDefault="007B0FC8" w:rsidP="009535C4">
            <w:pPr>
              <w:pStyle w:val="NormalWeb"/>
              <w:rPr>
                <w:rFonts w:ascii="Avenir Book" w:hAnsi="Avenir Book"/>
                <w:color w:val="000000"/>
                <w:sz w:val="20"/>
                <w:szCs w:val="20"/>
              </w:rPr>
            </w:pPr>
            <w:r>
              <w:rPr>
                <w:rFonts w:ascii="Avenir Book" w:hAnsi="Avenir Book"/>
                <w:color w:val="000000"/>
                <w:sz w:val="20"/>
                <w:szCs w:val="20"/>
              </w:rPr>
              <w:t>8am-12noon</w:t>
            </w:r>
          </w:p>
        </w:tc>
        <w:tc>
          <w:tcPr>
            <w:tcW w:w="0" w:type="auto"/>
            <w:tcBorders>
              <w:top w:val="nil"/>
              <w:left w:val="nil"/>
              <w:bottom w:val="nil"/>
              <w:right w:val="single" w:sz="12" w:space="0" w:color="auto"/>
            </w:tcBorders>
            <w:shd w:val="clear" w:color="auto" w:fill="B8CCE4"/>
          </w:tcPr>
          <w:p w14:paraId="720C77BC" w14:textId="77777777" w:rsidR="00A27318" w:rsidRPr="00D36513" w:rsidRDefault="00A27318" w:rsidP="009535C4">
            <w:pPr>
              <w:pStyle w:val="NormalWeb"/>
              <w:rPr>
                <w:rFonts w:ascii="Avenir Book" w:hAnsi="Avenir Book"/>
                <w:color w:val="000000"/>
                <w:sz w:val="20"/>
                <w:szCs w:val="20"/>
              </w:rPr>
            </w:pPr>
            <w:r w:rsidRPr="00D36513">
              <w:rPr>
                <w:rFonts w:ascii="Avenir Book" w:hAnsi="Avenir Book"/>
                <w:color w:val="000000"/>
                <w:sz w:val="20"/>
                <w:szCs w:val="20"/>
              </w:rPr>
              <w:t>To be posted on Canvas/Zoom folder</w:t>
            </w:r>
          </w:p>
        </w:tc>
      </w:tr>
      <w:tr w:rsidR="00A27318" w:rsidRPr="00D36513" w14:paraId="36E57AFF" w14:textId="77777777" w:rsidTr="009535C4">
        <w:trPr>
          <w:trHeight w:val="321"/>
        </w:trPr>
        <w:tc>
          <w:tcPr>
            <w:tcW w:w="0" w:type="auto"/>
            <w:tcBorders>
              <w:top w:val="nil"/>
              <w:left w:val="nil"/>
              <w:bottom w:val="nil"/>
              <w:right w:val="single" w:sz="8" w:space="0" w:color="auto"/>
            </w:tcBorders>
            <w:shd w:val="clear" w:color="auto" w:fill="D9D9D9"/>
            <w:vAlign w:val="center"/>
            <w:hideMark/>
          </w:tcPr>
          <w:p w14:paraId="1E1EECCD" w14:textId="77777777" w:rsidR="00A27318" w:rsidRPr="00D36513" w:rsidRDefault="00A27318" w:rsidP="009535C4">
            <w:pPr>
              <w:pStyle w:val="NormalWeb"/>
              <w:jc w:val="center"/>
              <w:rPr>
                <w:rFonts w:ascii="Calibri" w:hAnsi="Calibri"/>
                <w:sz w:val="20"/>
                <w:szCs w:val="20"/>
              </w:rPr>
            </w:pPr>
            <w:r w:rsidRPr="00D36513">
              <w:rPr>
                <w:rFonts w:ascii="Avenir Book" w:hAnsi="Avenir Book"/>
                <w:color w:val="000000"/>
                <w:sz w:val="20"/>
                <w:szCs w:val="20"/>
              </w:rPr>
              <w:t>4</w:t>
            </w:r>
          </w:p>
        </w:tc>
        <w:tc>
          <w:tcPr>
            <w:tcW w:w="0" w:type="auto"/>
            <w:tcBorders>
              <w:top w:val="nil"/>
              <w:left w:val="nil"/>
              <w:bottom w:val="nil"/>
              <w:right w:val="single" w:sz="12" w:space="0" w:color="auto"/>
            </w:tcBorders>
            <w:shd w:val="clear" w:color="auto" w:fill="D9D9D9"/>
            <w:vAlign w:val="center"/>
            <w:hideMark/>
          </w:tcPr>
          <w:p w14:paraId="236F398F" w14:textId="67D9A5CB" w:rsidR="00A27318" w:rsidRPr="00D36513" w:rsidRDefault="00A27318" w:rsidP="009535C4">
            <w:pPr>
              <w:pStyle w:val="NormalWeb"/>
              <w:jc w:val="center"/>
              <w:rPr>
                <w:rFonts w:ascii="Calibri" w:hAnsi="Calibri"/>
                <w:sz w:val="20"/>
                <w:szCs w:val="20"/>
              </w:rPr>
            </w:pPr>
            <w:r w:rsidRPr="00D36513">
              <w:rPr>
                <w:rFonts w:ascii="Avenir Book" w:hAnsi="Avenir Book"/>
                <w:color w:val="000000"/>
                <w:sz w:val="20"/>
                <w:szCs w:val="20"/>
              </w:rPr>
              <w:t>November</w:t>
            </w:r>
            <w:r>
              <w:rPr>
                <w:rFonts w:ascii="Avenir Book" w:hAnsi="Avenir Book"/>
                <w:color w:val="000000"/>
                <w:sz w:val="20"/>
                <w:szCs w:val="20"/>
              </w:rPr>
              <w:t xml:space="preserve"> </w:t>
            </w:r>
            <w:r w:rsidRPr="00D36513">
              <w:rPr>
                <w:rFonts w:ascii="Avenir Book" w:hAnsi="Avenir Book"/>
                <w:color w:val="000000"/>
                <w:sz w:val="20"/>
                <w:szCs w:val="20"/>
              </w:rPr>
              <w:t>1</w:t>
            </w:r>
            <w:r w:rsidR="007B0FC8">
              <w:rPr>
                <w:rFonts w:ascii="Avenir Book" w:hAnsi="Avenir Book"/>
                <w:color w:val="000000"/>
                <w:sz w:val="20"/>
                <w:szCs w:val="20"/>
              </w:rPr>
              <w:t>8-19</w:t>
            </w:r>
          </w:p>
        </w:tc>
        <w:tc>
          <w:tcPr>
            <w:tcW w:w="0" w:type="auto"/>
            <w:tcBorders>
              <w:top w:val="nil"/>
              <w:left w:val="nil"/>
              <w:bottom w:val="nil"/>
              <w:right w:val="nil"/>
            </w:tcBorders>
            <w:shd w:val="clear" w:color="auto" w:fill="D9D9D9"/>
          </w:tcPr>
          <w:p w14:paraId="7CFFE88E" w14:textId="0FDCEEFD" w:rsidR="00A27318" w:rsidRPr="00D36513" w:rsidRDefault="007B0FC8" w:rsidP="009535C4">
            <w:pPr>
              <w:pStyle w:val="NormalWeb"/>
              <w:rPr>
                <w:rFonts w:ascii="Avenir Book" w:hAnsi="Avenir Book"/>
                <w:color w:val="000000"/>
                <w:sz w:val="20"/>
                <w:szCs w:val="20"/>
              </w:rPr>
            </w:pPr>
            <w:r>
              <w:rPr>
                <w:rFonts w:ascii="Avenir Book" w:hAnsi="Avenir Book"/>
                <w:color w:val="000000"/>
                <w:sz w:val="20"/>
                <w:szCs w:val="20"/>
              </w:rPr>
              <w:t>8am-12noon</w:t>
            </w:r>
          </w:p>
        </w:tc>
        <w:tc>
          <w:tcPr>
            <w:tcW w:w="0" w:type="auto"/>
            <w:tcBorders>
              <w:top w:val="nil"/>
              <w:left w:val="nil"/>
              <w:bottom w:val="nil"/>
              <w:right w:val="single" w:sz="12" w:space="0" w:color="auto"/>
            </w:tcBorders>
            <w:shd w:val="clear" w:color="auto" w:fill="D9D9D9"/>
          </w:tcPr>
          <w:p w14:paraId="008985FA" w14:textId="77777777" w:rsidR="00A27318" w:rsidRPr="00D36513" w:rsidRDefault="00A27318" w:rsidP="009535C4">
            <w:pPr>
              <w:pStyle w:val="NormalWeb"/>
              <w:rPr>
                <w:rFonts w:ascii="Avenir Book" w:hAnsi="Avenir Book"/>
                <w:color w:val="000000"/>
                <w:sz w:val="20"/>
                <w:szCs w:val="20"/>
              </w:rPr>
            </w:pPr>
            <w:r w:rsidRPr="00D36513">
              <w:rPr>
                <w:rFonts w:ascii="Avenir Book" w:hAnsi="Avenir Book"/>
                <w:color w:val="000000"/>
                <w:sz w:val="20"/>
                <w:szCs w:val="20"/>
              </w:rPr>
              <w:t>To be posted on Canvas/Zoom folder</w:t>
            </w:r>
          </w:p>
        </w:tc>
      </w:tr>
      <w:tr w:rsidR="00A27318" w:rsidRPr="00D36513" w14:paraId="2705CDC3" w14:textId="77777777" w:rsidTr="009535C4">
        <w:trPr>
          <w:trHeight w:val="348"/>
        </w:trPr>
        <w:tc>
          <w:tcPr>
            <w:tcW w:w="0" w:type="auto"/>
            <w:tcBorders>
              <w:top w:val="nil"/>
              <w:left w:val="nil"/>
              <w:bottom w:val="single" w:sz="12" w:space="0" w:color="auto"/>
              <w:right w:val="single" w:sz="8" w:space="0" w:color="auto"/>
            </w:tcBorders>
            <w:shd w:val="clear" w:color="auto" w:fill="B8CCE4"/>
            <w:vAlign w:val="center"/>
            <w:hideMark/>
          </w:tcPr>
          <w:p w14:paraId="1CAC64CD" w14:textId="77777777" w:rsidR="00A27318" w:rsidRPr="00D36513" w:rsidRDefault="00A27318" w:rsidP="009535C4">
            <w:pPr>
              <w:pStyle w:val="NormalWeb"/>
              <w:jc w:val="center"/>
              <w:rPr>
                <w:rFonts w:ascii="Calibri" w:hAnsi="Calibri"/>
                <w:sz w:val="20"/>
                <w:szCs w:val="20"/>
              </w:rPr>
            </w:pPr>
            <w:r w:rsidRPr="00D36513">
              <w:rPr>
                <w:rFonts w:ascii="Avenir Book" w:hAnsi="Avenir Book"/>
                <w:color w:val="000000"/>
                <w:sz w:val="20"/>
                <w:szCs w:val="20"/>
              </w:rPr>
              <w:t>5</w:t>
            </w:r>
          </w:p>
        </w:tc>
        <w:tc>
          <w:tcPr>
            <w:tcW w:w="0" w:type="auto"/>
            <w:tcBorders>
              <w:top w:val="nil"/>
              <w:left w:val="nil"/>
              <w:bottom w:val="single" w:sz="12" w:space="0" w:color="auto"/>
              <w:right w:val="single" w:sz="12" w:space="0" w:color="auto"/>
            </w:tcBorders>
            <w:shd w:val="clear" w:color="auto" w:fill="B8CCE4"/>
            <w:vAlign w:val="center"/>
            <w:hideMark/>
          </w:tcPr>
          <w:p w14:paraId="1CA3DB73" w14:textId="146885B3" w:rsidR="00A27318" w:rsidRPr="00D36513" w:rsidRDefault="00A27318" w:rsidP="009535C4">
            <w:pPr>
              <w:pStyle w:val="NormalWeb"/>
              <w:jc w:val="center"/>
              <w:rPr>
                <w:rFonts w:ascii="Calibri" w:hAnsi="Calibri"/>
                <w:sz w:val="20"/>
                <w:szCs w:val="20"/>
              </w:rPr>
            </w:pPr>
            <w:r w:rsidRPr="00D36513">
              <w:rPr>
                <w:rFonts w:ascii="Avenir Book" w:hAnsi="Avenir Book"/>
                <w:color w:val="000000"/>
                <w:sz w:val="20"/>
                <w:szCs w:val="20"/>
              </w:rPr>
              <w:t xml:space="preserve">December </w:t>
            </w:r>
            <w:r w:rsidR="007B0FC8">
              <w:rPr>
                <w:rFonts w:ascii="Avenir Book" w:hAnsi="Avenir Book"/>
                <w:color w:val="000000"/>
                <w:sz w:val="20"/>
                <w:szCs w:val="20"/>
              </w:rPr>
              <w:t>9-10</w:t>
            </w:r>
          </w:p>
        </w:tc>
        <w:tc>
          <w:tcPr>
            <w:tcW w:w="0" w:type="auto"/>
            <w:tcBorders>
              <w:top w:val="nil"/>
              <w:left w:val="nil"/>
              <w:bottom w:val="single" w:sz="12" w:space="0" w:color="auto"/>
              <w:right w:val="nil"/>
            </w:tcBorders>
            <w:shd w:val="clear" w:color="auto" w:fill="B8CCE4"/>
          </w:tcPr>
          <w:p w14:paraId="55268F7C" w14:textId="22108D9B" w:rsidR="00A27318" w:rsidRPr="00D36513" w:rsidRDefault="007B0FC8" w:rsidP="009535C4">
            <w:pPr>
              <w:pStyle w:val="NormalWeb"/>
              <w:rPr>
                <w:rFonts w:ascii="Avenir Book" w:hAnsi="Avenir Book"/>
                <w:color w:val="000000"/>
                <w:sz w:val="20"/>
                <w:szCs w:val="20"/>
              </w:rPr>
            </w:pPr>
            <w:r>
              <w:rPr>
                <w:rFonts w:ascii="Avenir Book" w:hAnsi="Avenir Book"/>
                <w:color w:val="000000"/>
                <w:sz w:val="20"/>
                <w:szCs w:val="20"/>
              </w:rPr>
              <w:t>8am-12noon</w:t>
            </w:r>
          </w:p>
        </w:tc>
        <w:tc>
          <w:tcPr>
            <w:tcW w:w="0" w:type="auto"/>
            <w:tcBorders>
              <w:top w:val="nil"/>
              <w:left w:val="nil"/>
              <w:bottom w:val="single" w:sz="12" w:space="0" w:color="auto"/>
              <w:right w:val="single" w:sz="12" w:space="0" w:color="auto"/>
            </w:tcBorders>
            <w:shd w:val="clear" w:color="auto" w:fill="B8CCE4"/>
          </w:tcPr>
          <w:p w14:paraId="435B778A" w14:textId="77777777" w:rsidR="00A27318" w:rsidRPr="00D36513" w:rsidRDefault="00A27318" w:rsidP="009535C4">
            <w:pPr>
              <w:pStyle w:val="NormalWeb"/>
              <w:rPr>
                <w:rFonts w:ascii="Avenir Book" w:hAnsi="Avenir Book"/>
                <w:color w:val="000000"/>
                <w:sz w:val="20"/>
                <w:szCs w:val="20"/>
              </w:rPr>
            </w:pPr>
            <w:r w:rsidRPr="00D36513">
              <w:rPr>
                <w:rFonts w:ascii="Avenir Book" w:hAnsi="Avenir Book"/>
                <w:color w:val="000000"/>
                <w:sz w:val="20"/>
                <w:szCs w:val="20"/>
              </w:rPr>
              <w:t>To be posted on Canvas/Zoom folder</w:t>
            </w:r>
          </w:p>
        </w:tc>
      </w:tr>
    </w:tbl>
    <w:p w14:paraId="329F1518" w14:textId="1BF8F8E3" w:rsidR="004025DB" w:rsidRPr="00852AD5" w:rsidRDefault="004025DB" w:rsidP="00DA2425">
      <w:pPr>
        <w:ind w:left="360" w:hanging="360"/>
        <w:rPr>
          <w:rFonts w:asciiTheme="majorBidi" w:hAnsiTheme="majorBidi" w:cstheme="majorBidi"/>
        </w:rPr>
      </w:pPr>
    </w:p>
    <w:p w14:paraId="3970D4A9" w14:textId="2B38777D" w:rsidR="004025DB" w:rsidRPr="00852AD5" w:rsidRDefault="004025DB" w:rsidP="00170F9F">
      <w:pPr>
        <w:pStyle w:val="Heading1"/>
      </w:pPr>
      <w:r w:rsidRPr="00852AD5">
        <w:t>Course Overview:</w:t>
      </w:r>
    </w:p>
    <w:p w14:paraId="690AFCB9" w14:textId="0A02F5B6" w:rsidR="00C12D39" w:rsidRPr="00C12D39" w:rsidRDefault="00C12D39" w:rsidP="00C12D39">
      <w:pPr>
        <w:ind w:left="360" w:hanging="360"/>
        <w:rPr>
          <w:rFonts w:asciiTheme="majorBidi" w:hAnsiTheme="majorBidi" w:cstheme="majorBidi"/>
        </w:rPr>
      </w:pPr>
      <w:r w:rsidRPr="00C12D39">
        <w:rPr>
          <w:rFonts w:asciiTheme="majorBidi" w:hAnsiTheme="majorBidi" w:cstheme="majorBidi"/>
        </w:rPr>
        <w:t xml:space="preserve">Individuals, organizations, and societies invest in digital technologies, big data, and machine learning (ML) and artificial intelligence (AI) algorithms to obtain returns such as efficiency gains, innovations, growth, and profitability. Along with the returns, these technologies can also increase risks of organizations such as privacy risks, </w:t>
      </w:r>
      <w:r w:rsidR="00614C0B">
        <w:rPr>
          <w:rFonts w:asciiTheme="majorBidi" w:hAnsiTheme="majorBidi" w:cstheme="majorBidi"/>
        </w:rPr>
        <w:t>information security risks</w:t>
      </w:r>
      <w:r w:rsidRPr="00C12D39">
        <w:rPr>
          <w:rFonts w:asciiTheme="majorBidi" w:hAnsiTheme="majorBidi" w:cstheme="majorBidi"/>
        </w:rPr>
        <w:t>, and risks of unethical, irresponsible use of big data. The objective of this course is to equip students with skills and knowledge for estimating and managing the risks and benefits of these technologies. The course addresses risk/return issues at different levels of analysis such as individuals, organizations, society</w:t>
      </w:r>
      <w:r>
        <w:rPr>
          <w:rFonts w:asciiTheme="majorBidi" w:hAnsiTheme="majorBidi" w:cstheme="majorBidi"/>
        </w:rPr>
        <w:t>,</w:t>
      </w:r>
      <w:r w:rsidRPr="00C12D39">
        <w:rPr>
          <w:rFonts w:asciiTheme="majorBidi" w:hAnsiTheme="majorBidi" w:cstheme="majorBidi"/>
        </w:rPr>
        <w:t xml:space="preserve"> and economy. </w:t>
      </w:r>
    </w:p>
    <w:p w14:paraId="30B4639E" w14:textId="135E8236" w:rsidR="004025DB" w:rsidRPr="00852AD5" w:rsidRDefault="004025DB" w:rsidP="00DA2425">
      <w:pPr>
        <w:ind w:left="360" w:hanging="360"/>
        <w:rPr>
          <w:rFonts w:asciiTheme="majorBidi" w:hAnsiTheme="majorBidi" w:cstheme="majorBidi"/>
        </w:rPr>
      </w:pPr>
    </w:p>
    <w:p w14:paraId="2BDF2A1E" w14:textId="77777777" w:rsidR="00922672" w:rsidRPr="00852AD5" w:rsidRDefault="004025DB" w:rsidP="00170F9F">
      <w:pPr>
        <w:pStyle w:val="Heading1"/>
        <w:rPr>
          <w:color w:val="222222"/>
        </w:rPr>
      </w:pPr>
      <w:r w:rsidRPr="00852AD5">
        <w:t>Course Learning Goals:</w:t>
      </w:r>
      <w:r w:rsidRPr="00852AD5">
        <w:rPr>
          <w:color w:val="222222"/>
        </w:rPr>
        <w:t xml:space="preserve"> </w:t>
      </w:r>
    </w:p>
    <w:p w14:paraId="06CC8C43" w14:textId="1312FDD0" w:rsidR="002419AE" w:rsidRPr="002419AE" w:rsidRDefault="002419AE" w:rsidP="002419AE">
      <w:pPr>
        <w:pStyle w:val="ListParagraph"/>
        <w:rPr>
          <w:rFonts w:asciiTheme="majorBidi" w:hAnsiTheme="majorBidi" w:cstheme="majorBidi"/>
          <w:spacing w:val="-1"/>
          <w:bdr w:val="none" w:sz="0" w:space="0" w:color="auto" w:frame="1"/>
        </w:rPr>
      </w:pPr>
      <w:r w:rsidRPr="002419AE">
        <w:rPr>
          <w:rFonts w:asciiTheme="majorBidi" w:hAnsiTheme="majorBidi" w:cstheme="majorBidi"/>
          <w:spacing w:val="-1"/>
          <w:bdr w:val="none" w:sz="0" w:space="0" w:color="auto" w:frame="1"/>
        </w:rPr>
        <w:t xml:space="preserve">By the end of sessions 1-4, students will learn how to make the business value and public value case for identity, privacy, and </w:t>
      </w:r>
      <w:r w:rsidR="00614C0B">
        <w:rPr>
          <w:rFonts w:asciiTheme="majorBidi" w:hAnsiTheme="majorBidi" w:cstheme="majorBidi"/>
          <w:spacing w:val="-1"/>
          <w:bdr w:val="none" w:sz="0" w:space="0" w:color="auto" w:frame="1"/>
        </w:rPr>
        <w:t>information security</w:t>
      </w:r>
      <w:r w:rsidRPr="002419AE">
        <w:rPr>
          <w:rFonts w:asciiTheme="majorBidi" w:hAnsiTheme="majorBidi" w:cstheme="majorBidi"/>
          <w:spacing w:val="-1"/>
          <w:bdr w:val="none" w:sz="0" w:space="0" w:color="auto" w:frame="1"/>
        </w:rPr>
        <w:t xml:space="preserve"> investments:</w:t>
      </w:r>
    </w:p>
    <w:p w14:paraId="702D9A1D" w14:textId="7877543A" w:rsidR="002419AE" w:rsidRPr="002419AE" w:rsidRDefault="002419AE" w:rsidP="002419AE">
      <w:pPr>
        <w:pStyle w:val="ListParagraph"/>
        <w:numPr>
          <w:ilvl w:val="0"/>
          <w:numId w:val="17"/>
        </w:numPr>
        <w:rPr>
          <w:rFonts w:asciiTheme="majorBidi" w:hAnsiTheme="majorBidi" w:cstheme="majorBidi"/>
          <w:spacing w:val="-1"/>
          <w:bdr w:val="none" w:sz="0" w:space="0" w:color="auto" w:frame="1"/>
        </w:rPr>
      </w:pPr>
      <w:r w:rsidRPr="002419AE">
        <w:rPr>
          <w:rFonts w:asciiTheme="majorBidi" w:hAnsiTheme="majorBidi" w:cstheme="majorBidi"/>
          <w:spacing w:val="-1"/>
          <w:bdr w:val="none" w:sz="0" w:space="0" w:color="auto" w:frame="1"/>
        </w:rPr>
        <w:t xml:space="preserve">How to make the “business value case” for </w:t>
      </w:r>
      <w:r w:rsidR="00614C0B">
        <w:rPr>
          <w:rFonts w:asciiTheme="majorBidi" w:hAnsiTheme="majorBidi" w:cstheme="majorBidi"/>
          <w:spacing w:val="-1"/>
          <w:bdr w:val="none" w:sz="0" w:space="0" w:color="auto" w:frame="1"/>
        </w:rPr>
        <w:t>p</w:t>
      </w:r>
      <w:r w:rsidRPr="002419AE">
        <w:rPr>
          <w:rFonts w:asciiTheme="majorBidi" w:hAnsiTheme="majorBidi" w:cstheme="majorBidi"/>
          <w:spacing w:val="-1"/>
          <w:bdr w:val="none" w:sz="0" w:space="0" w:color="auto" w:frame="1"/>
        </w:rPr>
        <w:t xml:space="preserve">rivacy and </w:t>
      </w:r>
      <w:r w:rsidR="00614C0B">
        <w:rPr>
          <w:rFonts w:asciiTheme="majorBidi" w:hAnsiTheme="majorBidi" w:cstheme="majorBidi"/>
          <w:spacing w:val="-1"/>
          <w:bdr w:val="none" w:sz="0" w:space="0" w:color="auto" w:frame="1"/>
        </w:rPr>
        <w:t>information security</w:t>
      </w:r>
      <w:r w:rsidR="00614C0B" w:rsidRPr="002419AE">
        <w:rPr>
          <w:rFonts w:asciiTheme="majorBidi" w:hAnsiTheme="majorBidi" w:cstheme="majorBidi"/>
          <w:spacing w:val="-1"/>
          <w:bdr w:val="none" w:sz="0" w:space="0" w:color="auto" w:frame="1"/>
        </w:rPr>
        <w:t xml:space="preserve"> </w:t>
      </w:r>
      <w:r w:rsidRPr="002419AE">
        <w:rPr>
          <w:rFonts w:asciiTheme="majorBidi" w:hAnsiTheme="majorBidi" w:cstheme="majorBidi"/>
          <w:spacing w:val="-1"/>
          <w:bdr w:val="none" w:sz="0" w:space="0" w:color="auto" w:frame="1"/>
        </w:rPr>
        <w:t>investments of for-profit organizations</w:t>
      </w:r>
    </w:p>
    <w:p w14:paraId="207E3815" w14:textId="510B6C2F" w:rsidR="002419AE" w:rsidRPr="002419AE" w:rsidRDefault="002419AE" w:rsidP="002419AE">
      <w:pPr>
        <w:pStyle w:val="ListParagraph"/>
        <w:numPr>
          <w:ilvl w:val="0"/>
          <w:numId w:val="17"/>
        </w:numPr>
        <w:rPr>
          <w:rFonts w:asciiTheme="majorBidi" w:hAnsiTheme="majorBidi" w:cstheme="majorBidi"/>
          <w:spacing w:val="-1"/>
          <w:bdr w:val="none" w:sz="0" w:space="0" w:color="auto" w:frame="1"/>
        </w:rPr>
      </w:pPr>
      <w:r w:rsidRPr="002419AE">
        <w:rPr>
          <w:rFonts w:asciiTheme="majorBidi" w:hAnsiTheme="majorBidi" w:cstheme="majorBidi"/>
          <w:spacing w:val="-1"/>
          <w:bdr w:val="none" w:sz="0" w:space="0" w:color="auto" w:frame="1"/>
        </w:rPr>
        <w:t xml:space="preserve">How to make the “public value case” for privacy and </w:t>
      </w:r>
      <w:r w:rsidR="00614C0B">
        <w:rPr>
          <w:rFonts w:asciiTheme="majorBidi" w:hAnsiTheme="majorBidi" w:cstheme="majorBidi"/>
          <w:spacing w:val="-1"/>
          <w:bdr w:val="none" w:sz="0" w:space="0" w:color="auto" w:frame="1"/>
        </w:rPr>
        <w:t>information security</w:t>
      </w:r>
      <w:r w:rsidR="00614C0B" w:rsidRPr="002419AE">
        <w:rPr>
          <w:rFonts w:asciiTheme="majorBidi" w:hAnsiTheme="majorBidi" w:cstheme="majorBidi"/>
          <w:spacing w:val="-1"/>
          <w:bdr w:val="none" w:sz="0" w:space="0" w:color="auto" w:frame="1"/>
        </w:rPr>
        <w:t xml:space="preserve"> </w:t>
      </w:r>
      <w:r w:rsidRPr="002419AE">
        <w:rPr>
          <w:rFonts w:asciiTheme="majorBidi" w:hAnsiTheme="majorBidi" w:cstheme="majorBidi"/>
          <w:spacing w:val="-1"/>
          <w:bdr w:val="none" w:sz="0" w:space="0" w:color="auto" w:frame="1"/>
        </w:rPr>
        <w:t>investments of non-profit organizations</w:t>
      </w:r>
    </w:p>
    <w:p w14:paraId="355F8DA5" w14:textId="624B5AA4" w:rsidR="00614C0B" w:rsidRPr="002419AE" w:rsidRDefault="002419AE" w:rsidP="00614C0B">
      <w:pPr>
        <w:pStyle w:val="ListParagraph"/>
        <w:numPr>
          <w:ilvl w:val="0"/>
          <w:numId w:val="17"/>
        </w:numPr>
        <w:rPr>
          <w:rFonts w:asciiTheme="majorBidi" w:hAnsiTheme="majorBidi" w:cstheme="majorBidi"/>
          <w:spacing w:val="-1"/>
          <w:bdr w:val="none" w:sz="0" w:space="0" w:color="auto" w:frame="1"/>
        </w:rPr>
      </w:pPr>
      <w:r w:rsidRPr="00614C0B">
        <w:rPr>
          <w:rFonts w:asciiTheme="majorBidi" w:hAnsiTheme="majorBidi" w:cstheme="majorBidi"/>
          <w:spacing w:val="-1"/>
          <w:bdr w:val="none" w:sz="0" w:space="0" w:color="auto" w:frame="1"/>
        </w:rPr>
        <w:t xml:space="preserve">How to establish an accountability framework for evaluating and justifying </w:t>
      </w:r>
      <w:r w:rsidR="00614C0B" w:rsidRPr="002419AE">
        <w:rPr>
          <w:rFonts w:asciiTheme="majorBidi" w:hAnsiTheme="majorBidi" w:cstheme="majorBidi"/>
          <w:spacing w:val="-1"/>
          <w:bdr w:val="none" w:sz="0" w:space="0" w:color="auto" w:frame="1"/>
        </w:rPr>
        <w:t xml:space="preserve">privacy and </w:t>
      </w:r>
      <w:r w:rsidR="00614C0B">
        <w:rPr>
          <w:rFonts w:asciiTheme="majorBidi" w:hAnsiTheme="majorBidi" w:cstheme="majorBidi"/>
          <w:spacing w:val="-1"/>
          <w:bdr w:val="none" w:sz="0" w:space="0" w:color="auto" w:frame="1"/>
        </w:rPr>
        <w:t>information security</w:t>
      </w:r>
      <w:r w:rsidR="00614C0B" w:rsidRPr="002419AE">
        <w:rPr>
          <w:rFonts w:asciiTheme="majorBidi" w:hAnsiTheme="majorBidi" w:cstheme="majorBidi"/>
          <w:spacing w:val="-1"/>
          <w:bdr w:val="none" w:sz="0" w:space="0" w:color="auto" w:frame="1"/>
        </w:rPr>
        <w:t xml:space="preserve"> investments</w:t>
      </w:r>
    </w:p>
    <w:p w14:paraId="47B6853C" w14:textId="2DC9CDD5" w:rsidR="002419AE" w:rsidRPr="00614C0B" w:rsidRDefault="002419AE" w:rsidP="00264356">
      <w:pPr>
        <w:pStyle w:val="ListParagraph"/>
        <w:numPr>
          <w:ilvl w:val="0"/>
          <w:numId w:val="17"/>
        </w:numPr>
        <w:rPr>
          <w:rFonts w:asciiTheme="majorBidi" w:hAnsiTheme="majorBidi" w:cstheme="majorBidi"/>
          <w:spacing w:val="-1"/>
          <w:bdr w:val="none" w:sz="0" w:space="0" w:color="auto" w:frame="1"/>
        </w:rPr>
      </w:pPr>
      <w:r w:rsidRPr="00614C0B">
        <w:rPr>
          <w:rFonts w:asciiTheme="majorBidi" w:hAnsiTheme="majorBidi" w:cstheme="majorBidi"/>
          <w:spacing w:val="-1"/>
          <w:bdr w:val="none" w:sz="0" w:space="0" w:color="auto" w:frame="1"/>
        </w:rPr>
        <w:t xml:space="preserve">How to recognize and address the limitations of the existing business value and public value frameworks </w:t>
      </w:r>
    </w:p>
    <w:p w14:paraId="40222A96" w14:textId="77777777" w:rsidR="002419AE" w:rsidRPr="002419AE" w:rsidRDefault="002419AE" w:rsidP="002419AE">
      <w:pPr>
        <w:pStyle w:val="ListParagraph"/>
        <w:rPr>
          <w:rFonts w:asciiTheme="majorBidi" w:hAnsiTheme="majorBidi" w:cstheme="majorBidi"/>
          <w:spacing w:val="-1"/>
          <w:bdr w:val="none" w:sz="0" w:space="0" w:color="auto" w:frame="1"/>
        </w:rPr>
      </w:pPr>
    </w:p>
    <w:p w14:paraId="79C88385" w14:textId="77777777" w:rsidR="002419AE" w:rsidRPr="002419AE" w:rsidRDefault="002419AE" w:rsidP="002419AE">
      <w:pPr>
        <w:pStyle w:val="ListParagraph"/>
        <w:rPr>
          <w:rFonts w:asciiTheme="majorBidi" w:hAnsiTheme="majorBidi" w:cstheme="majorBidi"/>
          <w:spacing w:val="-1"/>
          <w:bdr w:val="none" w:sz="0" w:space="0" w:color="auto" w:frame="1"/>
        </w:rPr>
      </w:pPr>
      <w:r w:rsidRPr="002419AE">
        <w:rPr>
          <w:rFonts w:asciiTheme="majorBidi" w:hAnsiTheme="majorBidi" w:cstheme="majorBidi"/>
          <w:spacing w:val="-1"/>
          <w:bdr w:val="none" w:sz="0" w:space="0" w:color="auto" w:frame="1"/>
        </w:rPr>
        <w:t>By the end of sessions 5-8, students will:</w:t>
      </w:r>
    </w:p>
    <w:p w14:paraId="1C6A8D04" w14:textId="77777777" w:rsidR="002419AE" w:rsidRPr="002419AE" w:rsidRDefault="002419AE" w:rsidP="002419AE">
      <w:pPr>
        <w:pStyle w:val="ListParagraph"/>
        <w:numPr>
          <w:ilvl w:val="0"/>
          <w:numId w:val="18"/>
        </w:numPr>
        <w:rPr>
          <w:rFonts w:asciiTheme="majorBidi" w:hAnsiTheme="majorBidi" w:cstheme="majorBidi"/>
          <w:spacing w:val="-1"/>
          <w:bdr w:val="none" w:sz="0" w:space="0" w:color="auto" w:frame="1"/>
        </w:rPr>
      </w:pPr>
      <w:r w:rsidRPr="002419AE">
        <w:rPr>
          <w:rFonts w:asciiTheme="majorBidi" w:hAnsiTheme="majorBidi" w:cstheme="majorBidi"/>
          <w:spacing w:val="-1"/>
          <w:bdr w:val="none" w:sz="0" w:space="0" w:color="auto" w:frame="1"/>
        </w:rPr>
        <w:t xml:space="preserve">Have a working knowledge of liability forms available to emerging industries </w:t>
      </w:r>
    </w:p>
    <w:p w14:paraId="3EB08422" w14:textId="77777777" w:rsidR="002419AE" w:rsidRPr="002419AE" w:rsidRDefault="002419AE" w:rsidP="002419AE">
      <w:pPr>
        <w:pStyle w:val="ListParagraph"/>
        <w:numPr>
          <w:ilvl w:val="0"/>
          <w:numId w:val="18"/>
        </w:numPr>
        <w:rPr>
          <w:rFonts w:asciiTheme="majorBidi" w:hAnsiTheme="majorBidi" w:cstheme="majorBidi"/>
          <w:spacing w:val="-1"/>
          <w:bdr w:val="none" w:sz="0" w:space="0" w:color="auto" w:frame="1"/>
        </w:rPr>
      </w:pPr>
      <w:r w:rsidRPr="002419AE">
        <w:rPr>
          <w:rFonts w:asciiTheme="majorBidi" w:hAnsiTheme="majorBidi" w:cstheme="majorBidi"/>
          <w:spacing w:val="-1"/>
          <w:bdr w:val="none" w:sz="0" w:space="0" w:color="auto" w:frame="1"/>
        </w:rPr>
        <w:t xml:space="preserve">Understand the differences between traditional risk transfer and alternative risk models and how to apply those models based on the organization’s exposures </w:t>
      </w:r>
    </w:p>
    <w:p w14:paraId="14C9D03D" w14:textId="77777777" w:rsidR="002419AE" w:rsidRPr="002419AE" w:rsidRDefault="002419AE" w:rsidP="002419AE">
      <w:pPr>
        <w:pStyle w:val="ListParagraph"/>
        <w:numPr>
          <w:ilvl w:val="0"/>
          <w:numId w:val="18"/>
        </w:numPr>
        <w:rPr>
          <w:rFonts w:asciiTheme="majorBidi" w:hAnsiTheme="majorBidi" w:cstheme="majorBidi"/>
          <w:spacing w:val="-1"/>
          <w:bdr w:val="none" w:sz="0" w:space="0" w:color="auto" w:frame="1"/>
        </w:rPr>
      </w:pPr>
      <w:r w:rsidRPr="002419AE">
        <w:rPr>
          <w:rFonts w:asciiTheme="majorBidi" w:hAnsiTheme="majorBidi" w:cstheme="majorBidi"/>
          <w:spacing w:val="-1"/>
          <w:bdr w:val="none" w:sz="0" w:space="0" w:color="auto" w:frame="1"/>
        </w:rPr>
        <w:t xml:space="preserve">Use reinsurance and financial models to determine underwriting premiums and rates </w:t>
      </w:r>
    </w:p>
    <w:p w14:paraId="1D467D5E" w14:textId="77777777" w:rsidR="002419AE" w:rsidRPr="002419AE" w:rsidRDefault="002419AE" w:rsidP="002419AE">
      <w:pPr>
        <w:pStyle w:val="ListParagraph"/>
        <w:rPr>
          <w:rFonts w:asciiTheme="majorBidi" w:hAnsiTheme="majorBidi" w:cstheme="majorBidi"/>
          <w:spacing w:val="-1"/>
          <w:bdr w:val="none" w:sz="0" w:space="0" w:color="auto" w:frame="1"/>
        </w:rPr>
      </w:pPr>
    </w:p>
    <w:p w14:paraId="34444462" w14:textId="77777777" w:rsidR="002419AE" w:rsidRPr="002419AE" w:rsidRDefault="002419AE" w:rsidP="002419AE">
      <w:pPr>
        <w:pStyle w:val="ListParagraph"/>
        <w:rPr>
          <w:rFonts w:asciiTheme="majorBidi" w:hAnsiTheme="majorBidi" w:cstheme="majorBidi"/>
          <w:spacing w:val="-1"/>
          <w:bdr w:val="none" w:sz="0" w:space="0" w:color="auto" w:frame="1"/>
        </w:rPr>
      </w:pPr>
      <w:r w:rsidRPr="002419AE">
        <w:rPr>
          <w:rFonts w:asciiTheme="majorBidi" w:hAnsiTheme="majorBidi" w:cstheme="majorBidi"/>
          <w:spacing w:val="-1"/>
          <w:bdr w:val="none" w:sz="0" w:space="0" w:color="auto" w:frame="1"/>
        </w:rPr>
        <w:t>By the end of sessions 9 and 10, students will:</w:t>
      </w:r>
    </w:p>
    <w:p w14:paraId="3A003726" w14:textId="77777777" w:rsidR="002419AE" w:rsidRPr="002419AE" w:rsidRDefault="002419AE" w:rsidP="002419AE">
      <w:pPr>
        <w:pStyle w:val="ListParagraph"/>
        <w:numPr>
          <w:ilvl w:val="0"/>
          <w:numId w:val="19"/>
        </w:numPr>
        <w:rPr>
          <w:rFonts w:asciiTheme="majorBidi" w:hAnsiTheme="majorBidi" w:cstheme="majorBidi"/>
          <w:spacing w:val="-1"/>
          <w:bdr w:val="none" w:sz="0" w:space="0" w:color="auto" w:frame="1"/>
        </w:rPr>
      </w:pPr>
      <w:r w:rsidRPr="002419AE">
        <w:rPr>
          <w:rFonts w:asciiTheme="majorBidi" w:hAnsiTheme="majorBidi" w:cstheme="majorBidi"/>
          <w:spacing w:val="-1"/>
          <w:bdr w:val="none" w:sz="0" w:space="0" w:color="auto" w:frame="1"/>
        </w:rPr>
        <w:t>Understand factors that affect national economic efficiency</w:t>
      </w:r>
    </w:p>
    <w:p w14:paraId="35507496" w14:textId="77777777" w:rsidR="002419AE" w:rsidRPr="002419AE" w:rsidRDefault="002419AE" w:rsidP="002419AE">
      <w:pPr>
        <w:pStyle w:val="ListParagraph"/>
        <w:numPr>
          <w:ilvl w:val="0"/>
          <w:numId w:val="19"/>
        </w:numPr>
        <w:rPr>
          <w:rFonts w:asciiTheme="majorBidi" w:hAnsiTheme="majorBidi" w:cstheme="majorBidi"/>
          <w:spacing w:val="-1"/>
          <w:bdr w:val="none" w:sz="0" w:space="0" w:color="auto" w:frame="1"/>
        </w:rPr>
      </w:pPr>
      <w:r w:rsidRPr="002419AE">
        <w:rPr>
          <w:rFonts w:asciiTheme="majorBidi" w:hAnsiTheme="majorBidi" w:cstheme="majorBidi"/>
          <w:spacing w:val="-1"/>
          <w:bdr w:val="none" w:sz="0" w:space="0" w:color="auto" w:frame="1"/>
        </w:rPr>
        <w:t xml:space="preserve">Be able to describe assumptions about private economics in a public economy </w:t>
      </w:r>
    </w:p>
    <w:p w14:paraId="6A9578C7" w14:textId="2D61CCB0" w:rsidR="002419AE" w:rsidRPr="002419AE" w:rsidRDefault="002419AE" w:rsidP="002419AE">
      <w:pPr>
        <w:pStyle w:val="ListParagraph"/>
        <w:numPr>
          <w:ilvl w:val="0"/>
          <w:numId w:val="19"/>
        </w:numPr>
        <w:rPr>
          <w:rFonts w:asciiTheme="majorBidi" w:hAnsiTheme="majorBidi" w:cstheme="majorBidi"/>
          <w:spacing w:val="-1"/>
          <w:bdr w:val="none" w:sz="0" w:space="0" w:color="auto" w:frame="1"/>
        </w:rPr>
      </w:pPr>
      <w:r w:rsidRPr="002419AE">
        <w:rPr>
          <w:rFonts w:asciiTheme="majorBidi" w:hAnsiTheme="majorBidi" w:cstheme="majorBidi"/>
          <w:spacing w:val="-1"/>
          <w:bdr w:val="none" w:sz="0" w:space="0" w:color="auto" w:frame="1"/>
        </w:rPr>
        <w:t xml:space="preserve">Be able to outline national productivity gains from a functioning digital economy that depends on </w:t>
      </w:r>
      <w:r w:rsidR="00460B0D">
        <w:rPr>
          <w:rFonts w:asciiTheme="majorBidi" w:hAnsiTheme="majorBidi" w:cstheme="majorBidi"/>
          <w:spacing w:val="-1"/>
          <w:bdr w:val="none" w:sz="0" w:space="0" w:color="auto" w:frame="1"/>
        </w:rPr>
        <w:t>information security and privacy guardrails</w:t>
      </w:r>
    </w:p>
    <w:p w14:paraId="034765C7" w14:textId="69703E3B" w:rsidR="002419AE" w:rsidRPr="002419AE" w:rsidRDefault="002419AE" w:rsidP="002419AE">
      <w:pPr>
        <w:pStyle w:val="ListParagraph"/>
        <w:numPr>
          <w:ilvl w:val="0"/>
          <w:numId w:val="19"/>
        </w:numPr>
        <w:rPr>
          <w:rFonts w:asciiTheme="majorBidi" w:hAnsiTheme="majorBidi" w:cstheme="majorBidi"/>
          <w:spacing w:val="-1"/>
          <w:bdr w:val="none" w:sz="0" w:space="0" w:color="auto" w:frame="1"/>
        </w:rPr>
      </w:pPr>
      <w:r w:rsidRPr="002419AE">
        <w:rPr>
          <w:rFonts w:asciiTheme="majorBidi" w:hAnsiTheme="majorBidi" w:cstheme="majorBidi"/>
          <w:spacing w:val="-1"/>
          <w:bdr w:val="none" w:sz="0" w:space="0" w:color="auto" w:frame="1"/>
        </w:rPr>
        <w:lastRenderedPageBreak/>
        <w:t>Understand national security implications of i</w:t>
      </w:r>
      <w:r w:rsidR="00460B0D">
        <w:rPr>
          <w:rFonts w:asciiTheme="majorBidi" w:hAnsiTheme="majorBidi" w:cstheme="majorBidi"/>
          <w:spacing w:val="-1"/>
          <w:bdr w:val="none" w:sz="0" w:space="0" w:color="auto" w:frame="1"/>
        </w:rPr>
        <w:t>nvestments in information security</w:t>
      </w:r>
      <w:r w:rsidRPr="002419AE">
        <w:rPr>
          <w:rFonts w:asciiTheme="majorBidi" w:hAnsiTheme="majorBidi" w:cstheme="majorBidi"/>
          <w:spacing w:val="-1"/>
          <w:bdr w:val="none" w:sz="0" w:space="0" w:color="auto" w:frame="1"/>
        </w:rPr>
        <w:t xml:space="preserve"> related to</w:t>
      </w:r>
      <w:r w:rsidR="00460B0D">
        <w:rPr>
          <w:rFonts w:asciiTheme="majorBidi" w:hAnsiTheme="majorBidi" w:cstheme="majorBidi"/>
          <w:spacing w:val="-1"/>
          <w:bdr w:val="none" w:sz="0" w:space="0" w:color="auto" w:frame="1"/>
        </w:rPr>
        <w:t>:</w:t>
      </w:r>
    </w:p>
    <w:p w14:paraId="651843F4" w14:textId="77777777" w:rsidR="002419AE" w:rsidRPr="002419AE" w:rsidRDefault="002419AE" w:rsidP="002419AE">
      <w:pPr>
        <w:pStyle w:val="ListParagraph"/>
        <w:numPr>
          <w:ilvl w:val="0"/>
          <w:numId w:val="20"/>
        </w:numPr>
        <w:rPr>
          <w:rFonts w:asciiTheme="majorBidi" w:hAnsiTheme="majorBidi" w:cstheme="majorBidi"/>
          <w:spacing w:val="-1"/>
          <w:bdr w:val="none" w:sz="0" w:space="0" w:color="auto" w:frame="1"/>
        </w:rPr>
      </w:pPr>
      <w:r w:rsidRPr="002419AE">
        <w:rPr>
          <w:rFonts w:asciiTheme="majorBidi" w:hAnsiTheme="majorBidi" w:cstheme="majorBidi"/>
          <w:spacing w:val="-1"/>
          <w:bdr w:val="none" w:sz="0" w:space="0" w:color="auto" w:frame="1"/>
        </w:rPr>
        <w:t>Office of Personnel Management</w:t>
      </w:r>
    </w:p>
    <w:p w14:paraId="6EF3DE7A" w14:textId="77777777" w:rsidR="002419AE" w:rsidRPr="002419AE" w:rsidRDefault="002419AE" w:rsidP="002419AE">
      <w:pPr>
        <w:pStyle w:val="ListParagraph"/>
        <w:numPr>
          <w:ilvl w:val="0"/>
          <w:numId w:val="20"/>
        </w:numPr>
        <w:rPr>
          <w:rFonts w:asciiTheme="majorBidi" w:hAnsiTheme="majorBidi" w:cstheme="majorBidi"/>
          <w:spacing w:val="-1"/>
          <w:bdr w:val="none" w:sz="0" w:space="0" w:color="auto" w:frame="1"/>
        </w:rPr>
      </w:pPr>
      <w:r w:rsidRPr="002419AE">
        <w:rPr>
          <w:rFonts w:asciiTheme="majorBidi" w:hAnsiTheme="majorBidi" w:cstheme="majorBidi"/>
          <w:spacing w:val="-1"/>
          <w:bdr w:val="none" w:sz="0" w:space="0" w:color="auto" w:frame="1"/>
        </w:rPr>
        <w:t>Transnational/state-sponsored threats: terrorism, cyber war (N. Korea, China, Russia)</w:t>
      </w:r>
    </w:p>
    <w:p w14:paraId="1CAAE250" w14:textId="77777777" w:rsidR="002419AE" w:rsidRPr="002419AE" w:rsidRDefault="002419AE" w:rsidP="002419AE">
      <w:pPr>
        <w:pStyle w:val="ListParagraph"/>
        <w:numPr>
          <w:ilvl w:val="0"/>
          <w:numId w:val="20"/>
        </w:numPr>
        <w:rPr>
          <w:rFonts w:asciiTheme="majorBidi" w:hAnsiTheme="majorBidi" w:cstheme="majorBidi"/>
          <w:spacing w:val="-1"/>
          <w:bdr w:val="none" w:sz="0" w:space="0" w:color="auto" w:frame="1"/>
        </w:rPr>
      </w:pPr>
      <w:r w:rsidRPr="002419AE">
        <w:rPr>
          <w:rFonts w:asciiTheme="majorBidi" w:hAnsiTheme="majorBidi" w:cstheme="majorBidi"/>
          <w:spacing w:val="-1"/>
          <w:bdr w:val="none" w:sz="0" w:space="0" w:color="auto" w:frame="1"/>
        </w:rPr>
        <w:t xml:space="preserve">International gangs and organized crime syndicates (human trafficking, cyber attacks, Big Data) </w:t>
      </w:r>
    </w:p>
    <w:p w14:paraId="62B8D16E" w14:textId="388EDD61" w:rsidR="002419AE" w:rsidRPr="002419AE" w:rsidRDefault="002419AE" w:rsidP="002419AE">
      <w:pPr>
        <w:pStyle w:val="ListParagraph"/>
        <w:numPr>
          <w:ilvl w:val="0"/>
          <w:numId w:val="21"/>
        </w:numPr>
        <w:rPr>
          <w:rFonts w:asciiTheme="majorBidi" w:hAnsiTheme="majorBidi" w:cstheme="majorBidi"/>
          <w:spacing w:val="-1"/>
          <w:bdr w:val="none" w:sz="0" w:space="0" w:color="auto" w:frame="1"/>
        </w:rPr>
      </w:pPr>
      <w:r w:rsidRPr="002419AE">
        <w:rPr>
          <w:rFonts w:asciiTheme="majorBidi" w:hAnsiTheme="majorBidi" w:cstheme="majorBidi"/>
          <w:spacing w:val="-1"/>
          <w:bdr w:val="none" w:sz="0" w:space="0" w:color="auto" w:frame="1"/>
        </w:rPr>
        <w:t xml:space="preserve">Be familiar with “internet of things” (algorithmic trading that depends on </w:t>
      </w:r>
      <w:r w:rsidR="00B37848">
        <w:rPr>
          <w:rFonts w:asciiTheme="majorBidi" w:hAnsiTheme="majorBidi" w:cstheme="majorBidi"/>
          <w:spacing w:val="-1"/>
          <w:bdr w:val="none" w:sz="0" w:space="0" w:color="auto" w:frame="1"/>
        </w:rPr>
        <w:t>information security and privacy considerations</w:t>
      </w:r>
      <w:r w:rsidRPr="002419AE">
        <w:rPr>
          <w:rFonts w:asciiTheme="majorBidi" w:hAnsiTheme="majorBidi" w:cstheme="majorBidi"/>
          <w:spacing w:val="-1"/>
          <w:bdr w:val="none" w:sz="0" w:space="0" w:color="auto" w:frame="1"/>
        </w:rPr>
        <w:t>; Second Machine Age and automation of cognitive tasks)</w:t>
      </w:r>
    </w:p>
    <w:p w14:paraId="46396BF1" w14:textId="77777777" w:rsidR="00922672" w:rsidRPr="00852AD5" w:rsidRDefault="00922672" w:rsidP="00DA2425">
      <w:pPr>
        <w:pStyle w:val="ListParagraph"/>
        <w:rPr>
          <w:rFonts w:asciiTheme="majorBidi" w:hAnsiTheme="majorBidi" w:cstheme="majorBidi"/>
        </w:rPr>
      </w:pPr>
    </w:p>
    <w:p w14:paraId="60D44A57" w14:textId="1B49EE5B" w:rsidR="00922672" w:rsidRPr="00776F54" w:rsidRDefault="00922672" w:rsidP="00170F9F">
      <w:pPr>
        <w:pStyle w:val="Heading1"/>
        <w:rPr>
          <w:color w:val="222222"/>
        </w:rPr>
      </w:pPr>
      <w:r w:rsidRPr="00776F54">
        <w:t>Beyond this Course:</w:t>
      </w:r>
      <w:r w:rsidRPr="00776F54">
        <w:rPr>
          <w:color w:val="222222"/>
        </w:rPr>
        <w:t xml:space="preserve"> </w:t>
      </w:r>
    </w:p>
    <w:p w14:paraId="40F55A47" w14:textId="77777777" w:rsidR="00EA2F61" w:rsidRPr="00776F54" w:rsidRDefault="00EA2F61" w:rsidP="00776F54">
      <w:pPr>
        <w:pStyle w:val="descriptions"/>
        <w:numPr>
          <w:ilvl w:val="0"/>
          <w:numId w:val="0"/>
        </w:numPr>
        <w:ind w:left="720"/>
        <w:rPr>
          <w:i w:val="0"/>
          <w:iCs w:val="0"/>
          <w:color w:val="auto"/>
        </w:rPr>
      </w:pPr>
    </w:p>
    <w:p w14:paraId="2212ECB7" w14:textId="266DFAD9" w:rsidR="00EA2F61" w:rsidRPr="00776F54" w:rsidRDefault="00D44A80" w:rsidP="00776F54">
      <w:pPr>
        <w:pStyle w:val="descriptions"/>
        <w:numPr>
          <w:ilvl w:val="0"/>
          <w:numId w:val="0"/>
        </w:numPr>
        <w:ind w:left="360"/>
        <w:rPr>
          <w:i w:val="0"/>
          <w:iCs w:val="0"/>
          <w:color w:val="auto"/>
        </w:rPr>
      </w:pPr>
      <w:r w:rsidRPr="00776F54">
        <w:rPr>
          <w:i w:val="0"/>
          <w:color w:val="auto"/>
        </w:rPr>
        <w:t>T</w:t>
      </w:r>
      <w:r w:rsidR="00317AFD" w:rsidRPr="00776F54">
        <w:rPr>
          <w:i w:val="0"/>
          <w:color w:val="auto"/>
        </w:rPr>
        <w:t xml:space="preserve">he </w:t>
      </w:r>
      <w:r w:rsidRPr="00776F54">
        <w:rPr>
          <w:i w:val="0"/>
          <w:color w:val="auto"/>
        </w:rPr>
        <w:t xml:space="preserve">MSISP </w:t>
      </w:r>
      <w:r w:rsidR="00EA2F61" w:rsidRPr="00776F54">
        <w:rPr>
          <w:i w:val="0"/>
          <w:iCs w:val="0"/>
          <w:color w:val="auto"/>
        </w:rPr>
        <w:t>curriculum prepare</w:t>
      </w:r>
      <w:r w:rsidR="00317AFD" w:rsidRPr="00776F54">
        <w:rPr>
          <w:i w:val="0"/>
          <w:iCs w:val="0"/>
          <w:color w:val="auto"/>
        </w:rPr>
        <w:t>s</w:t>
      </w:r>
      <w:r w:rsidR="00EA2F61" w:rsidRPr="00776F54">
        <w:rPr>
          <w:i w:val="0"/>
          <w:iCs w:val="0"/>
          <w:color w:val="auto"/>
        </w:rPr>
        <w:t xml:space="preserve"> students to mitigate </w:t>
      </w:r>
      <w:r w:rsidR="005031E4">
        <w:rPr>
          <w:i w:val="0"/>
          <w:iCs w:val="0"/>
          <w:color w:val="auto"/>
        </w:rPr>
        <w:t>information security</w:t>
      </w:r>
      <w:r w:rsidRPr="00776F54">
        <w:rPr>
          <w:i w:val="0"/>
          <w:iCs w:val="0"/>
          <w:color w:val="auto"/>
        </w:rPr>
        <w:t xml:space="preserve"> and privacy risks that threaten the achievement of </w:t>
      </w:r>
      <w:r w:rsidR="00317AFD" w:rsidRPr="00776F54">
        <w:rPr>
          <w:i w:val="0"/>
          <w:iCs w:val="0"/>
          <w:color w:val="auto"/>
        </w:rPr>
        <w:t xml:space="preserve">an </w:t>
      </w:r>
      <w:r w:rsidRPr="00776F54">
        <w:rPr>
          <w:i w:val="0"/>
          <w:iCs w:val="0"/>
          <w:color w:val="auto"/>
        </w:rPr>
        <w:t>organization</w:t>
      </w:r>
      <w:r w:rsidR="00317AFD" w:rsidRPr="00776F54">
        <w:rPr>
          <w:i w:val="0"/>
          <w:iCs w:val="0"/>
          <w:color w:val="auto"/>
        </w:rPr>
        <w:t xml:space="preserve">’s </w:t>
      </w:r>
      <w:r w:rsidRPr="00776F54">
        <w:rPr>
          <w:i w:val="0"/>
          <w:iCs w:val="0"/>
          <w:color w:val="auto"/>
        </w:rPr>
        <w:t xml:space="preserve">business value </w:t>
      </w:r>
      <w:r w:rsidR="00317AFD" w:rsidRPr="00776F54">
        <w:rPr>
          <w:i w:val="0"/>
          <w:iCs w:val="0"/>
          <w:color w:val="auto"/>
        </w:rPr>
        <w:t xml:space="preserve">/ </w:t>
      </w:r>
      <w:r w:rsidRPr="00776F54">
        <w:rPr>
          <w:i w:val="0"/>
          <w:iCs w:val="0"/>
          <w:color w:val="auto"/>
        </w:rPr>
        <w:t>public value objectives. C</w:t>
      </w:r>
      <w:r w:rsidR="00EA2F61" w:rsidRPr="00776F54">
        <w:rPr>
          <w:i w:val="0"/>
          <w:iCs w:val="0"/>
          <w:color w:val="auto"/>
        </w:rPr>
        <w:t xml:space="preserve">ybersecurity and privacy </w:t>
      </w:r>
      <w:r w:rsidRPr="00776F54">
        <w:rPr>
          <w:i w:val="0"/>
          <w:iCs w:val="0"/>
          <w:color w:val="auto"/>
        </w:rPr>
        <w:t xml:space="preserve">professionals </w:t>
      </w:r>
      <w:r w:rsidR="00EA2F61" w:rsidRPr="00776F54">
        <w:rPr>
          <w:i w:val="0"/>
          <w:iCs w:val="0"/>
          <w:color w:val="auto"/>
        </w:rPr>
        <w:t>compete for scarce investment resources of organizations</w:t>
      </w:r>
      <w:r w:rsidRPr="00776F54">
        <w:rPr>
          <w:i w:val="0"/>
          <w:iCs w:val="0"/>
          <w:color w:val="auto"/>
        </w:rPr>
        <w:t xml:space="preserve"> to institute and operate </w:t>
      </w:r>
      <w:r w:rsidR="00317AFD" w:rsidRPr="00776F54">
        <w:rPr>
          <w:i w:val="0"/>
          <w:iCs w:val="0"/>
          <w:color w:val="auto"/>
        </w:rPr>
        <w:t xml:space="preserve">mitigations for </w:t>
      </w:r>
      <w:r w:rsidRPr="00776F54">
        <w:rPr>
          <w:i w:val="0"/>
          <w:iCs w:val="0"/>
          <w:color w:val="auto"/>
        </w:rPr>
        <w:t xml:space="preserve">cybersecurity and privacy </w:t>
      </w:r>
      <w:r w:rsidR="00317AFD" w:rsidRPr="00776F54">
        <w:rPr>
          <w:i w:val="0"/>
          <w:iCs w:val="0"/>
          <w:color w:val="auto"/>
        </w:rPr>
        <w:t>risks</w:t>
      </w:r>
      <w:r w:rsidRPr="00776F54">
        <w:rPr>
          <w:i w:val="0"/>
          <w:iCs w:val="0"/>
          <w:color w:val="auto"/>
        </w:rPr>
        <w:t>.</w:t>
      </w:r>
      <w:r w:rsidR="00317AFD" w:rsidRPr="00776F54">
        <w:rPr>
          <w:i w:val="0"/>
          <w:iCs w:val="0"/>
          <w:color w:val="auto"/>
        </w:rPr>
        <w:t xml:space="preserve"> </w:t>
      </w:r>
      <w:r w:rsidRPr="00776F54">
        <w:rPr>
          <w:i w:val="0"/>
          <w:iCs w:val="0"/>
          <w:color w:val="auto"/>
        </w:rPr>
        <w:t xml:space="preserve">Among the many investment proposals </w:t>
      </w:r>
      <w:r w:rsidR="00317AFD" w:rsidRPr="00776F54">
        <w:rPr>
          <w:i w:val="0"/>
          <w:iCs w:val="0"/>
          <w:color w:val="auto"/>
        </w:rPr>
        <w:t xml:space="preserve">of </w:t>
      </w:r>
      <w:r w:rsidRPr="00776F54">
        <w:rPr>
          <w:i w:val="0"/>
          <w:iCs w:val="0"/>
          <w:color w:val="auto"/>
        </w:rPr>
        <w:t>different business units promising to improve profitability, growth, productivity, etc., why should decision makers fund a</w:t>
      </w:r>
      <w:r w:rsidR="005031E4">
        <w:rPr>
          <w:i w:val="0"/>
          <w:iCs w:val="0"/>
          <w:color w:val="auto"/>
        </w:rPr>
        <w:t>n information security</w:t>
      </w:r>
      <w:r w:rsidR="00317AFD" w:rsidRPr="00776F54">
        <w:rPr>
          <w:i w:val="0"/>
          <w:iCs w:val="0"/>
          <w:color w:val="auto"/>
        </w:rPr>
        <w:t xml:space="preserve"> / </w:t>
      </w:r>
      <w:r w:rsidRPr="00776F54">
        <w:rPr>
          <w:i w:val="0"/>
          <w:iCs w:val="0"/>
          <w:color w:val="auto"/>
        </w:rPr>
        <w:t>privacy</w:t>
      </w:r>
      <w:r w:rsidR="00317AFD" w:rsidRPr="00776F54">
        <w:rPr>
          <w:i w:val="0"/>
          <w:iCs w:val="0"/>
          <w:color w:val="auto"/>
        </w:rPr>
        <w:t xml:space="preserve"> investment proposal</w:t>
      </w:r>
      <w:r w:rsidRPr="00776F54">
        <w:rPr>
          <w:i w:val="0"/>
          <w:iCs w:val="0"/>
          <w:color w:val="auto"/>
        </w:rPr>
        <w:t>?</w:t>
      </w:r>
      <w:r w:rsidR="00317AFD" w:rsidRPr="00776F54">
        <w:rPr>
          <w:i w:val="0"/>
          <w:iCs w:val="0"/>
          <w:color w:val="auto"/>
        </w:rPr>
        <w:t xml:space="preserve"> </w:t>
      </w:r>
      <w:r w:rsidRPr="00776F54">
        <w:rPr>
          <w:i w:val="0"/>
          <w:iCs w:val="0"/>
          <w:color w:val="auto"/>
        </w:rPr>
        <w:t xml:space="preserve">This course aims to equip students with skills to </w:t>
      </w:r>
      <w:r w:rsidR="00317AFD" w:rsidRPr="00776F54">
        <w:rPr>
          <w:i w:val="0"/>
          <w:iCs w:val="0"/>
          <w:color w:val="auto"/>
        </w:rPr>
        <w:t xml:space="preserve">estimate risks and benefits of </w:t>
      </w:r>
      <w:r w:rsidR="005031E4">
        <w:rPr>
          <w:i w:val="0"/>
          <w:iCs w:val="0"/>
          <w:color w:val="auto"/>
        </w:rPr>
        <w:t>information security</w:t>
      </w:r>
      <w:r w:rsidR="005031E4" w:rsidRPr="00776F54">
        <w:rPr>
          <w:i w:val="0"/>
          <w:iCs w:val="0"/>
          <w:color w:val="auto"/>
        </w:rPr>
        <w:t xml:space="preserve"> </w:t>
      </w:r>
      <w:r w:rsidR="00317AFD" w:rsidRPr="00776F54">
        <w:rPr>
          <w:i w:val="0"/>
          <w:iCs w:val="0"/>
          <w:color w:val="auto"/>
        </w:rPr>
        <w:t xml:space="preserve">/ </w:t>
      </w:r>
      <w:r w:rsidRPr="00776F54">
        <w:rPr>
          <w:i w:val="0"/>
          <w:iCs w:val="0"/>
          <w:color w:val="auto"/>
        </w:rPr>
        <w:t>privacy</w:t>
      </w:r>
      <w:r w:rsidR="00317AFD" w:rsidRPr="00776F54">
        <w:rPr>
          <w:i w:val="0"/>
          <w:iCs w:val="0"/>
          <w:color w:val="auto"/>
        </w:rPr>
        <w:t xml:space="preserve"> investments so that decision makers can clearly see the business value / public value of the investment and fund the proposal</w:t>
      </w:r>
      <w:r w:rsidRPr="00776F54">
        <w:rPr>
          <w:i w:val="0"/>
          <w:iCs w:val="0"/>
          <w:color w:val="auto"/>
        </w:rPr>
        <w:t xml:space="preserve">. </w:t>
      </w:r>
    </w:p>
    <w:p w14:paraId="74E1C895" w14:textId="7C735C15" w:rsidR="004025DB" w:rsidRPr="00D44A80" w:rsidRDefault="004025DB" w:rsidP="00DA2425">
      <w:pPr>
        <w:rPr>
          <w:rFonts w:asciiTheme="majorBidi" w:hAnsiTheme="majorBidi" w:cstheme="majorBidi"/>
        </w:rPr>
      </w:pPr>
    </w:p>
    <w:p w14:paraId="70A082FE" w14:textId="6E4C8B04" w:rsidR="004025DB" w:rsidRPr="00852AD5" w:rsidRDefault="004025DB" w:rsidP="00170F9F">
      <w:pPr>
        <w:pStyle w:val="Heading1"/>
      </w:pPr>
      <w:r w:rsidRPr="00852AD5">
        <w:t>Grading policy:</w:t>
      </w:r>
    </w:p>
    <w:p w14:paraId="06B8DDF5" w14:textId="5E13011B" w:rsidR="00170F9F" w:rsidRPr="00852AD5" w:rsidRDefault="00170F9F" w:rsidP="00E27E36">
      <w:pPr>
        <w:pStyle w:val="Heading2"/>
      </w:pPr>
      <w:r w:rsidRPr="00852AD5">
        <w:t>Course Evaluations</w:t>
      </w:r>
    </w:p>
    <w:p w14:paraId="2891E3CD" w14:textId="416951AB" w:rsidR="0092295D" w:rsidRPr="0092295D" w:rsidRDefault="0092295D" w:rsidP="0092295D">
      <w:pPr>
        <w:pStyle w:val="descriptions"/>
        <w:numPr>
          <w:ilvl w:val="0"/>
          <w:numId w:val="0"/>
        </w:numPr>
        <w:ind w:left="360"/>
        <w:rPr>
          <w:i w:val="0"/>
          <w:iCs w:val="0"/>
          <w:color w:val="auto"/>
        </w:rPr>
      </w:pPr>
      <w:r w:rsidRPr="0092295D">
        <w:rPr>
          <w:b/>
          <w:bCs/>
          <w:i w:val="0"/>
          <w:iCs w:val="0"/>
          <w:color w:val="auto"/>
        </w:rPr>
        <w:t>Sessions 1-4,</w:t>
      </w:r>
      <w:r w:rsidRPr="0092295D">
        <w:rPr>
          <w:i w:val="0"/>
          <w:iCs w:val="0"/>
          <w:color w:val="auto"/>
        </w:rPr>
        <w:t xml:space="preserve"> Making the business value and public value cases for </w:t>
      </w:r>
      <w:r w:rsidR="0043522E">
        <w:rPr>
          <w:i w:val="0"/>
          <w:iCs w:val="0"/>
          <w:color w:val="auto"/>
        </w:rPr>
        <w:t xml:space="preserve">privacy and information security </w:t>
      </w:r>
      <w:r w:rsidRPr="0092295D">
        <w:rPr>
          <w:i w:val="0"/>
          <w:iCs w:val="0"/>
          <w:color w:val="auto"/>
        </w:rPr>
        <w:t>investments</w:t>
      </w:r>
    </w:p>
    <w:p w14:paraId="7FDCFDFE" w14:textId="77777777" w:rsidR="0092295D" w:rsidRPr="0092295D" w:rsidRDefault="0092295D" w:rsidP="0092295D">
      <w:pPr>
        <w:pStyle w:val="descriptions"/>
        <w:numPr>
          <w:ilvl w:val="0"/>
          <w:numId w:val="0"/>
        </w:numPr>
        <w:ind w:left="360"/>
        <w:rPr>
          <w:i w:val="0"/>
          <w:iCs w:val="0"/>
          <w:color w:val="auto"/>
        </w:rPr>
      </w:pPr>
    </w:p>
    <w:p w14:paraId="5C090743" w14:textId="575FFB3E" w:rsidR="0092295D" w:rsidRPr="0092295D" w:rsidRDefault="0092295D" w:rsidP="0092295D">
      <w:pPr>
        <w:pStyle w:val="descriptions"/>
        <w:numPr>
          <w:ilvl w:val="0"/>
          <w:numId w:val="0"/>
        </w:numPr>
        <w:ind w:left="360"/>
        <w:rPr>
          <w:i w:val="0"/>
          <w:iCs w:val="0"/>
          <w:color w:val="auto"/>
        </w:rPr>
      </w:pPr>
      <w:r w:rsidRPr="0092295D">
        <w:rPr>
          <w:i w:val="0"/>
          <w:iCs w:val="0"/>
          <w:color w:val="auto"/>
        </w:rPr>
        <w:t>Assignment for Session-3 (September 2</w:t>
      </w:r>
      <w:r>
        <w:rPr>
          <w:i w:val="0"/>
          <w:iCs w:val="0"/>
          <w:color w:val="auto"/>
        </w:rPr>
        <w:t>3</w:t>
      </w:r>
      <w:r w:rsidRPr="0092295D">
        <w:rPr>
          <w:i w:val="0"/>
          <w:iCs w:val="0"/>
          <w:color w:val="auto"/>
        </w:rPr>
        <w:t>):</w:t>
      </w:r>
    </w:p>
    <w:p w14:paraId="61687745" w14:textId="7EF07783" w:rsidR="0092295D" w:rsidRPr="0092295D" w:rsidRDefault="0092295D" w:rsidP="0092295D">
      <w:pPr>
        <w:pStyle w:val="descriptions"/>
        <w:numPr>
          <w:ilvl w:val="0"/>
          <w:numId w:val="0"/>
        </w:numPr>
        <w:ind w:left="720"/>
        <w:rPr>
          <w:i w:val="0"/>
          <w:iCs w:val="0"/>
          <w:color w:val="auto"/>
        </w:rPr>
      </w:pPr>
      <w:r w:rsidRPr="0092295D">
        <w:rPr>
          <w:i w:val="0"/>
          <w:iCs w:val="0"/>
          <w:color w:val="auto"/>
        </w:rPr>
        <w:t>HappyPay Case Assignment, Part II (posted on Canvas). Due on Canvas by 12noon on September 2</w:t>
      </w:r>
      <w:r>
        <w:rPr>
          <w:i w:val="0"/>
          <w:iCs w:val="0"/>
          <w:color w:val="auto"/>
        </w:rPr>
        <w:t>3</w:t>
      </w:r>
      <w:r w:rsidRPr="0092295D">
        <w:rPr>
          <w:i w:val="0"/>
          <w:iCs w:val="0"/>
          <w:color w:val="auto"/>
        </w:rPr>
        <w:t>th.</w:t>
      </w:r>
    </w:p>
    <w:p w14:paraId="7FB47B69" w14:textId="77777777" w:rsidR="0092295D" w:rsidRPr="0092295D" w:rsidRDefault="0092295D" w:rsidP="0092295D">
      <w:pPr>
        <w:pStyle w:val="descriptions"/>
        <w:numPr>
          <w:ilvl w:val="0"/>
          <w:numId w:val="0"/>
        </w:numPr>
        <w:ind w:left="360"/>
        <w:rPr>
          <w:i w:val="0"/>
          <w:iCs w:val="0"/>
          <w:color w:val="auto"/>
        </w:rPr>
      </w:pPr>
    </w:p>
    <w:p w14:paraId="49EF7A2F" w14:textId="7670F0BB" w:rsidR="0092295D" w:rsidRPr="0092295D" w:rsidRDefault="0092295D" w:rsidP="0092295D">
      <w:pPr>
        <w:pStyle w:val="descriptions"/>
        <w:numPr>
          <w:ilvl w:val="0"/>
          <w:numId w:val="0"/>
        </w:numPr>
        <w:ind w:left="360"/>
        <w:rPr>
          <w:i w:val="0"/>
          <w:iCs w:val="0"/>
          <w:color w:val="auto"/>
        </w:rPr>
      </w:pPr>
      <w:r w:rsidRPr="0092295D">
        <w:rPr>
          <w:i w:val="0"/>
          <w:iCs w:val="0"/>
          <w:color w:val="auto"/>
        </w:rPr>
        <w:t>Assignments for Section 4 (September 2</w:t>
      </w:r>
      <w:r>
        <w:rPr>
          <w:i w:val="0"/>
          <w:iCs w:val="0"/>
          <w:color w:val="auto"/>
        </w:rPr>
        <w:t>4</w:t>
      </w:r>
      <w:r w:rsidRPr="0092295D">
        <w:rPr>
          <w:i w:val="0"/>
          <w:iCs w:val="0"/>
          <w:color w:val="auto"/>
        </w:rPr>
        <w:t>):</w:t>
      </w:r>
    </w:p>
    <w:p w14:paraId="032F2D7A" w14:textId="47CB1DFB" w:rsidR="0092295D" w:rsidRPr="0092295D" w:rsidRDefault="0092295D" w:rsidP="0092295D">
      <w:pPr>
        <w:pStyle w:val="descriptions"/>
        <w:numPr>
          <w:ilvl w:val="0"/>
          <w:numId w:val="0"/>
        </w:numPr>
        <w:ind w:left="720"/>
        <w:rPr>
          <w:i w:val="0"/>
          <w:iCs w:val="0"/>
          <w:color w:val="auto"/>
        </w:rPr>
      </w:pPr>
      <w:r w:rsidRPr="0092295D">
        <w:rPr>
          <w:i w:val="0"/>
          <w:iCs w:val="0"/>
          <w:color w:val="auto"/>
        </w:rPr>
        <w:t>ShotSpotter Case Assignment (posted on Canvas). Due on Canvas by 12noon on September 2</w:t>
      </w:r>
      <w:r>
        <w:rPr>
          <w:i w:val="0"/>
          <w:iCs w:val="0"/>
          <w:color w:val="auto"/>
        </w:rPr>
        <w:t>4</w:t>
      </w:r>
      <w:r w:rsidRPr="0092295D">
        <w:rPr>
          <w:i w:val="0"/>
          <w:iCs w:val="0"/>
          <w:color w:val="auto"/>
        </w:rPr>
        <w:t>th.</w:t>
      </w:r>
    </w:p>
    <w:p w14:paraId="43F050FA" w14:textId="77777777" w:rsidR="0092295D" w:rsidRPr="0092295D" w:rsidRDefault="0092295D" w:rsidP="0092295D">
      <w:pPr>
        <w:pStyle w:val="descriptions"/>
        <w:numPr>
          <w:ilvl w:val="0"/>
          <w:numId w:val="0"/>
        </w:numPr>
        <w:ind w:left="360"/>
        <w:rPr>
          <w:i w:val="0"/>
          <w:iCs w:val="0"/>
          <w:color w:val="auto"/>
        </w:rPr>
      </w:pPr>
    </w:p>
    <w:p w14:paraId="755F4E60" w14:textId="77777777" w:rsidR="0092295D" w:rsidRPr="0092295D" w:rsidRDefault="0092295D" w:rsidP="0092295D">
      <w:pPr>
        <w:pStyle w:val="descriptions"/>
        <w:numPr>
          <w:ilvl w:val="0"/>
          <w:numId w:val="0"/>
        </w:numPr>
        <w:ind w:left="360"/>
        <w:rPr>
          <w:i w:val="0"/>
          <w:iCs w:val="0"/>
          <w:color w:val="auto"/>
        </w:rPr>
      </w:pPr>
      <w:r w:rsidRPr="0092295D">
        <w:rPr>
          <w:i w:val="0"/>
          <w:iCs w:val="0"/>
          <w:color w:val="auto"/>
        </w:rPr>
        <w:t>Assignments total value: 40%</w:t>
      </w:r>
    </w:p>
    <w:p w14:paraId="644EBB9F" w14:textId="77777777" w:rsidR="0092295D" w:rsidRPr="0092295D" w:rsidRDefault="0092295D" w:rsidP="0092295D">
      <w:pPr>
        <w:pStyle w:val="descriptions"/>
        <w:numPr>
          <w:ilvl w:val="0"/>
          <w:numId w:val="0"/>
        </w:numPr>
        <w:ind w:left="360"/>
        <w:rPr>
          <w:i w:val="0"/>
          <w:iCs w:val="0"/>
          <w:color w:val="auto"/>
        </w:rPr>
      </w:pPr>
    </w:p>
    <w:p w14:paraId="3B80C19E" w14:textId="02076FFC" w:rsidR="0092295D" w:rsidRPr="0092295D" w:rsidRDefault="00BC65B7" w:rsidP="0092295D">
      <w:pPr>
        <w:pStyle w:val="descriptions"/>
        <w:numPr>
          <w:ilvl w:val="0"/>
          <w:numId w:val="0"/>
        </w:numPr>
        <w:ind w:left="360"/>
        <w:rPr>
          <w:i w:val="0"/>
          <w:iCs w:val="0"/>
          <w:color w:val="auto"/>
        </w:rPr>
      </w:pPr>
      <w:r>
        <w:rPr>
          <w:i w:val="0"/>
          <w:iCs w:val="0"/>
          <w:color w:val="auto"/>
        </w:rPr>
        <w:t>Late-submission policy</w:t>
      </w:r>
      <w:r w:rsidR="0092295D" w:rsidRPr="0092295D">
        <w:rPr>
          <w:i w:val="0"/>
          <w:iCs w:val="0"/>
          <w:color w:val="auto"/>
        </w:rPr>
        <w:t>:</w:t>
      </w:r>
      <w:r w:rsidR="0092295D" w:rsidRPr="0092295D">
        <w:rPr>
          <w:b/>
          <w:i w:val="0"/>
          <w:iCs w:val="0"/>
          <w:color w:val="auto"/>
        </w:rPr>
        <w:t xml:space="preserve"> </w:t>
      </w:r>
      <w:r w:rsidR="0092295D" w:rsidRPr="0092295D">
        <w:rPr>
          <w:i w:val="0"/>
          <w:iCs w:val="0"/>
          <w:color w:val="auto"/>
        </w:rPr>
        <w:t xml:space="preserve">There is no make-up for missing the assignments. A late submission is better than no submission at all. If you miss the submission deadline, a late submission within 7 days after the submission deadline will be accepted with a penalty. Since we will have discussed </w:t>
      </w:r>
      <w:r>
        <w:rPr>
          <w:i w:val="0"/>
          <w:iCs w:val="0"/>
          <w:color w:val="auto"/>
        </w:rPr>
        <w:t>the assignments</w:t>
      </w:r>
      <w:r w:rsidR="0092295D" w:rsidRPr="0092295D">
        <w:rPr>
          <w:i w:val="0"/>
          <w:iCs w:val="0"/>
          <w:color w:val="auto"/>
        </w:rPr>
        <w:t xml:space="preserve"> in class on the due dates, late submissions will have the </w:t>
      </w:r>
      <w:r w:rsidR="0092295D" w:rsidRPr="0092295D">
        <w:rPr>
          <w:i w:val="0"/>
          <w:iCs w:val="0"/>
          <w:color w:val="auto"/>
        </w:rPr>
        <w:lastRenderedPageBreak/>
        <w:t xml:space="preserve">benefit of </w:t>
      </w:r>
      <w:r>
        <w:rPr>
          <w:i w:val="0"/>
          <w:iCs w:val="0"/>
          <w:color w:val="auto"/>
        </w:rPr>
        <w:t>that discussion</w:t>
      </w:r>
      <w:r w:rsidR="0092295D" w:rsidRPr="0092295D">
        <w:rPr>
          <w:i w:val="0"/>
          <w:iCs w:val="0"/>
          <w:color w:val="auto"/>
        </w:rPr>
        <w:t>, and hence, they will be subject to a late submission penalty of 20% reduction.</w:t>
      </w:r>
    </w:p>
    <w:p w14:paraId="559091BB" w14:textId="77777777" w:rsidR="0092295D" w:rsidRPr="0092295D" w:rsidRDefault="0092295D" w:rsidP="0092295D">
      <w:pPr>
        <w:pStyle w:val="descriptions"/>
        <w:numPr>
          <w:ilvl w:val="0"/>
          <w:numId w:val="0"/>
        </w:numPr>
        <w:ind w:left="360"/>
        <w:rPr>
          <w:i w:val="0"/>
          <w:iCs w:val="0"/>
          <w:color w:val="auto"/>
        </w:rPr>
      </w:pPr>
    </w:p>
    <w:p w14:paraId="263389C7" w14:textId="0E8F2107" w:rsidR="0092295D" w:rsidRPr="0092295D" w:rsidRDefault="00A6623A" w:rsidP="0092295D">
      <w:pPr>
        <w:pStyle w:val="descriptions"/>
        <w:numPr>
          <w:ilvl w:val="0"/>
          <w:numId w:val="0"/>
        </w:numPr>
        <w:ind w:left="360"/>
        <w:rPr>
          <w:i w:val="0"/>
          <w:iCs w:val="0"/>
          <w:color w:val="auto"/>
        </w:rPr>
      </w:pPr>
      <w:r>
        <w:rPr>
          <w:b/>
          <w:bCs/>
          <w:i w:val="0"/>
          <w:iCs w:val="0"/>
          <w:color w:val="auto"/>
        </w:rPr>
        <w:t>Sessions</w:t>
      </w:r>
      <w:r w:rsidR="0092295D" w:rsidRPr="0092295D">
        <w:rPr>
          <w:b/>
          <w:bCs/>
          <w:i w:val="0"/>
          <w:iCs w:val="0"/>
          <w:color w:val="auto"/>
        </w:rPr>
        <w:t xml:space="preserve"> 5-8</w:t>
      </w:r>
      <w:r w:rsidR="0092295D" w:rsidRPr="0092295D">
        <w:rPr>
          <w:i w:val="0"/>
          <w:iCs w:val="0"/>
          <w:color w:val="auto"/>
        </w:rPr>
        <w:t xml:space="preserve">, “Financial Implications of Insuring </w:t>
      </w:r>
      <w:r w:rsidR="00460B0D">
        <w:rPr>
          <w:i w:val="0"/>
          <w:iCs w:val="0"/>
          <w:color w:val="auto"/>
        </w:rPr>
        <w:t>Information Security</w:t>
      </w:r>
      <w:r w:rsidR="0092295D" w:rsidRPr="0092295D">
        <w:rPr>
          <w:i w:val="0"/>
          <w:iCs w:val="0"/>
          <w:color w:val="auto"/>
        </w:rPr>
        <w:t xml:space="preserve"> Risk” </w:t>
      </w:r>
    </w:p>
    <w:p w14:paraId="22395EC7" w14:textId="23F2B7A0" w:rsidR="0092295D" w:rsidRPr="0092295D" w:rsidRDefault="0092295D" w:rsidP="0092295D">
      <w:pPr>
        <w:pStyle w:val="descriptions"/>
        <w:numPr>
          <w:ilvl w:val="0"/>
          <w:numId w:val="0"/>
        </w:numPr>
        <w:ind w:left="360"/>
        <w:rPr>
          <w:i w:val="0"/>
          <w:iCs w:val="0"/>
          <w:color w:val="auto"/>
        </w:rPr>
      </w:pPr>
      <w:r w:rsidRPr="0092295D">
        <w:rPr>
          <w:i w:val="0"/>
          <w:iCs w:val="0"/>
          <w:color w:val="auto"/>
        </w:rPr>
        <w:t xml:space="preserve">Using the </w:t>
      </w:r>
      <w:proofErr w:type="gramStart"/>
      <w:r w:rsidRPr="0092295D">
        <w:rPr>
          <w:i w:val="0"/>
          <w:iCs w:val="0"/>
          <w:color w:val="auto"/>
        </w:rPr>
        <w:t>information</w:t>
      </w:r>
      <w:proofErr w:type="gramEnd"/>
      <w:r w:rsidRPr="0092295D">
        <w:rPr>
          <w:i w:val="0"/>
          <w:iCs w:val="0"/>
          <w:color w:val="auto"/>
        </w:rPr>
        <w:t xml:space="preserve"> you have gained from our discussions and readings, each student will prepare an RFP (Request for Proposal) on behalf of your corporation (real or fictitious) for cyber insurance coverage. As the CIO, your RFP should include sufficient background information on the company to avoid potential gaps in cover from the insurance underwriter. </w:t>
      </w:r>
    </w:p>
    <w:p w14:paraId="0DF5B6B6" w14:textId="77777777" w:rsidR="0092295D" w:rsidRPr="0092295D" w:rsidRDefault="0092295D" w:rsidP="0092295D">
      <w:pPr>
        <w:pStyle w:val="descriptions"/>
        <w:numPr>
          <w:ilvl w:val="0"/>
          <w:numId w:val="0"/>
        </w:numPr>
        <w:ind w:left="360"/>
        <w:rPr>
          <w:i w:val="0"/>
          <w:iCs w:val="0"/>
          <w:color w:val="auto"/>
        </w:rPr>
      </w:pPr>
      <w:r w:rsidRPr="0092295D">
        <w:rPr>
          <w:i w:val="0"/>
          <w:iCs w:val="0"/>
          <w:color w:val="auto"/>
        </w:rPr>
        <w:t xml:space="preserve"> </w:t>
      </w:r>
    </w:p>
    <w:p w14:paraId="266F235C" w14:textId="77777777" w:rsidR="0092295D" w:rsidRPr="0092295D" w:rsidRDefault="0092295D" w:rsidP="0092295D">
      <w:pPr>
        <w:pStyle w:val="descriptions"/>
        <w:numPr>
          <w:ilvl w:val="0"/>
          <w:numId w:val="0"/>
        </w:numPr>
        <w:ind w:left="360"/>
        <w:rPr>
          <w:i w:val="0"/>
          <w:iCs w:val="0"/>
          <w:color w:val="auto"/>
        </w:rPr>
      </w:pPr>
      <w:r w:rsidRPr="0092295D">
        <w:rPr>
          <w:i w:val="0"/>
          <w:iCs w:val="0"/>
          <w:color w:val="auto"/>
        </w:rPr>
        <w:t>Assignment total value: 40%</w:t>
      </w:r>
    </w:p>
    <w:p w14:paraId="10AC3F97" w14:textId="4BA760EC" w:rsidR="0092295D" w:rsidRPr="0092295D" w:rsidRDefault="0092295D" w:rsidP="0092295D">
      <w:pPr>
        <w:pStyle w:val="descriptions"/>
        <w:numPr>
          <w:ilvl w:val="0"/>
          <w:numId w:val="0"/>
        </w:numPr>
        <w:ind w:left="360"/>
        <w:rPr>
          <w:i w:val="0"/>
          <w:iCs w:val="0"/>
          <w:color w:val="auto"/>
        </w:rPr>
      </w:pPr>
      <w:r w:rsidRPr="0092295D">
        <w:rPr>
          <w:i w:val="0"/>
          <w:iCs w:val="0"/>
          <w:color w:val="auto"/>
        </w:rPr>
        <w:t xml:space="preserve">Assignment Due Date: Nov. </w:t>
      </w:r>
      <w:r w:rsidR="009B7F49">
        <w:rPr>
          <w:i w:val="0"/>
          <w:iCs w:val="0"/>
          <w:color w:val="auto"/>
        </w:rPr>
        <w:t>21</w:t>
      </w:r>
      <w:r w:rsidRPr="0092295D">
        <w:rPr>
          <w:i w:val="0"/>
          <w:iCs w:val="0"/>
          <w:color w:val="auto"/>
        </w:rPr>
        <w:t>, 202</w:t>
      </w:r>
      <w:r w:rsidR="00210E59">
        <w:rPr>
          <w:i w:val="0"/>
          <w:iCs w:val="0"/>
          <w:color w:val="auto"/>
        </w:rPr>
        <w:t>2</w:t>
      </w:r>
      <w:r w:rsidRPr="0092295D">
        <w:rPr>
          <w:i w:val="0"/>
          <w:iCs w:val="0"/>
          <w:color w:val="auto"/>
        </w:rPr>
        <w:t>, 5:00 pm CST</w:t>
      </w:r>
    </w:p>
    <w:p w14:paraId="115A5B1B" w14:textId="7F9E53D0" w:rsidR="00BC65B7" w:rsidRPr="0092295D" w:rsidRDefault="0092295D" w:rsidP="00BC65B7">
      <w:pPr>
        <w:pStyle w:val="descriptions"/>
        <w:numPr>
          <w:ilvl w:val="0"/>
          <w:numId w:val="0"/>
        </w:numPr>
        <w:ind w:left="360"/>
        <w:rPr>
          <w:i w:val="0"/>
          <w:iCs w:val="0"/>
          <w:color w:val="auto"/>
        </w:rPr>
      </w:pPr>
      <w:r w:rsidRPr="0092295D">
        <w:rPr>
          <w:i w:val="0"/>
          <w:iCs w:val="0"/>
          <w:color w:val="auto"/>
        </w:rPr>
        <w:t xml:space="preserve">Late assignment penalty: </w:t>
      </w:r>
      <w:r w:rsidR="00BC65B7" w:rsidRPr="0092295D">
        <w:rPr>
          <w:i w:val="0"/>
          <w:iCs w:val="0"/>
          <w:color w:val="auto"/>
        </w:rPr>
        <w:t xml:space="preserve">There is no make-up for missing the assignments. A late submission is better than no submission at all. If you miss the submission deadline, a late submission within 7 days after the submission deadline will be accepted with a penalty. Since we will have discussed </w:t>
      </w:r>
      <w:r w:rsidR="00BC65B7">
        <w:rPr>
          <w:i w:val="0"/>
          <w:iCs w:val="0"/>
          <w:color w:val="auto"/>
        </w:rPr>
        <w:t>the assignments</w:t>
      </w:r>
      <w:r w:rsidR="00BC65B7" w:rsidRPr="0092295D">
        <w:rPr>
          <w:i w:val="0"/>
          <w:iCs w:val="0"/>
          <w:color w:val="auto"/>
        </w:rPr>
        <w:t xml:space="preserve"> in class on the due dates, late submissions will have the benefit of </w:t>
      </w:r>
      <w:r w:rsidR="00BC65B7">
        <w:rPr>
          <w:i w:val="0"/>
          <w:iCs w:val="0"/>
          <w:color w:val="auto"/>
        </w:rPr>
        <w:t>that discussion</w:t>
      </w:r>
      <w:r w:rsidR="00BC65B7" w:rsidRPr="0092295D">
        <w:rPr>
          <w:i w:val="0"/>
          <w:iCs w:val="0"/>
          <w:color w:val="auto"/>
        </w:rPr>
        <w:t>, and hence, they will be subject to a late submission penalty of 20% reduction.</w:t>
      </w:r>
    </w:p>
    <w:p w14:paraId="78DCA166" w14:textId="5265E883" w:rsidR="0092295D" w:rsidRPr="0092295D" w:rsidRDefault="0092295D" w:rsidP="0092295D">
      <w:pPr>
        <w:pStyle w:val="descriptions"/>
        <w:numPr>
          <w:ilvl w:val="0"/>
          <w:numId w:val="0"/>
        </w:numPr>
        <w:ind w:left="360"/>
        <w:rPr>
          <w:i w:val="0"/>
          <w:iCs w:val="0"/>
          <w:color w:val="auto"/>
        </w:rPr>
      </w:pPr>
    </w:p>
    <w:p w14:paraId="4328CEB9" w14:textId="7FE70ED2" w:rsidR="0092295D" w:rsidRPr="0092295D" w:rsidRDefault="00A6623A" w:rsidP="0092295D">
      <w:pPr>
        <w:pStyle w:val="descriptions"/>
        <w:numPr>
          <w:ilvl w:val="0"/>
          <w:numId w:val="0"/>
        </w:numPr>
        <w:ind w:left="360"/>
        <w:rPr>
          <w:i w:val="0"/>
          <w:iCs w:val="0"/>
          <w:color w:val="auto"/>
        </w:rPr>
      </w:pPr>
      <w:r w:rsidRPr="00A6623A">
        <w:rPr>
          <w:b/>
          <w:bCs/>
          <w:i w:val="0"/>
          <w:iCs w:val="0"/>
          <w:color w:val="auto"/>
        </w:rPr>
        <w:t>Sessions</w:t>
      </w:r>
      <w:r w:rsidR="0092295D" w:rsidRPr="0092295D">
        <w:rPr>
          <w:b/>
          <w:bCs/>
          <w:i w:val="0"/>
          <w:iCs w:val="0"/>
          <w:color w:val="auto"/>
        </w:rPr>
        <w:t xml:space="preserve"> 9 and 10</w:t>
      </w:r>
      <w:r w:rsidR="0092295D" w:rsidRPr="0092295D">
        <w:rPr>
          <w:i w:val="0"/>
          <w:iCs w:val="0"/>
          <w:color w:val="auto"/>
        </w:rPr>
        <w:t>, “Societal Impacts of Identity Assets”</w:t>
      </w:r>
    </w:p>
    <w:p w14:paraId="0F8F750A" w14:textId="77777777" w:rsidR="0092295D" w:rsidRPr="0092295D" w:rsidRDefault="0092295D" w:rsidP="0092295D">
      <w:pPr>
        <w:pStyle w:val="descriptions"/>
        <w:numPr>
          <w:ilvl w:val="0"/>
          <w:numId w:val="0"/>
        </w:numPr>
        <w:ind w:left="360"/>
        <w:rPr>
          <w:i w:val="0"/>
          <w:iCs w:val="0"/>
          <w:color w:val="auto"/>
        </w:rPr>
      </w:pPr>
      <w:r w:rsidRPr="0092295D">
        <w:rPr>
          <w:i w:val="0"/>
          <w:iCs w:val="0"/>
          <w:color w:val="auto"/>
        </w:rPr>
        <w:t xml:space="preserve">Individual assignment: Create a hypothetical public organization, national in scope, and describe its role and function. Create identity assets for your organization. Describe how you value them, and why they should be protected. Describe your organization’s position vis-à-vis other federal agencies. Does it share information with other agencies? What identity protection investments should your organization make in the short, medium, and long term? </w:t>
      </w:r>
    </w:p>
    <w:p w14:paraId="048A2F8C" w14:textId="77777777" w:rsidR="00A6623A" w:rsidRDefault="00A6623A" w:rsidP="0092295D">
      <w:pPr>
        <w:pStyle w:val="descriptions"/>
        <w:numPr>
          <w:ilvl w:val="0"/>
          <w:numId w:val="0"/>
        </w:numPr>
        <w:ind w:left="360"/>
        <w:rPr>
          <w:i w:val="0"/>
          <w:iCs w:val="0"/>
          <w:color w:val="auto"/>
        </w:rPr>
      </w:pPr>
    </w:p>
    <w:p w14:paraId="0D89AE58" w14:textId="5E307876" w:rsidR="0092295D" w:rsidRPr="0092295D" w:rsidRDefault="0092295D" w:rsidP="0092295D">
      <w:pPr>
        <w:pStyle w:val="descriptions"/>
        <w:numPr>
          <w:ilvl w:val="0"/>
          <w:numId w:val="0"/>
        </w:numPr>
        <w:ind w:left="360"/>
        <w:rPr>
          <w:i w:val="0"/>
          <w:iCs w:val="0"/>
          <w:color w:val="auto"/>
        </w:rPr>
      </w:pPr>
      <w:r w:rsidRPr="0092295D">
        <w:rPr>
          <w:i w:val="0"/>
          <w:iCs w:val="0"/>
          <w:color w:val="auto"/>
        </w:rPr>
        <w:t xml:space="preserve">Assignment total value: 20% </w:t>
      </w:r>
    </w:p>
    <w:p w14:paraId="75F211CD" w14:textId="231537B9" w:rsidR="0092295D" w:rsidRPr="0092295D" w:rsidRDefault="0092295D" w:rsidP="0092295D">
      <w:pPr>
        <w:pStyle w:val="descriptions"/>
        <w:numPr>
          <w:ilvl w:val="0"/>
          <w:numId w:val="0"/>
        </w:numPr>
        <w:ind w:left="360"/>
        <w:rPr>
          <w:i w:val="0"/>
          <w:iCs w:val="0"/>
          <w:color w:val="auto"/>
        </w:rPr>
      </w:pPr>
      <w:r w:rsidRPr="0092295D">
        <w:rPr>
          <w:i w:val="0"/>
          <w:iCs w:val="0"/>
          <w:color w:val="auto"/>
        </w:rPr>
        <w:t xml:space="preserve">Assignment Due Date: Dec. </w:t>
      </w:r>
      <w:r w:rsidR="007A073D">
        <w:rPr>
          <w:i w:val="0"/>
          <w:iCs w:val="0"/>
          <w:color w:val="auto"/>
        </w:rPr>
        <w:t>13</w:t>
      </w:r>
      <w:r w:rsidRPr="0092295D">
        <w:rPr>
          <w:i w:val="0"/>
          <w:iCs w:val="0"/>
          <w:color w:val="auto"/>
        </w:rPr>
        <w:t>, 5:00 pm CST</w:t>
      </w:r>
    </w:p>
    <w:p w14:paraId="6F724E3D" w14:textId="77777777" w:rsidR="00BC65B7" w:rsidRPr="0092295D" w:rsidRDefault="00BC65B7" w:rsidP="00BC65B7">
      <w:pPr>
        <w:pStyle w:val="descriptions"/>
        <w:numPr>
          <w:ilvl w:val="0"/>
          <w:numId w:val="0"/>
        </w:numPr>
        <w:ind w:left="360"/>
        <w:rPr>
          <w:i w:val="0"/>
          <w:iCs w:val="0"/>
          <w:color w:val="auto"/>
        </w:rPr>
      </w:pPr>
      <w:r w:rsidRPr="0092295D">
        <w:rPr>
          <w:i w:val="0"/>
          <w:iCs w:val="0"/>
          <w:color w:val="auto"/>
        </w:rPr>
        <w:t xml:space="preserve">Late assignment penalty: There is no make-up for missing the assignments. A late submission is better than no submission at all. If you miss the submission deadline, a late submission within 7 days after the submission deadline will be accepted with a penalty. Since we will have discussed </w:t>
      </w:r>
      <w:r>
        <w:rPr>
          <w:i w:val="0"/>
          <w:iCs w:val="0"/>
          <w:color w:val="auto"/>
        </w:rPr>
        <w:t>the assignments</w:t>
      </w:r>
      <w:r w:rsidRPr="0092295D">
        <w:rPr>
          <w:i w:val="0"/>
          <w:iCs w:val="0"/>
          <w:color w:val="auto"/>
        </w:rPr>
        <w:t xml:space="preserve"> in class on the due dates, late submissions will have the benefit of </w:t>
      </w:r>
      <w:r>
        <w:rPr>
          <w:i w:val="0"/>
          <w:iCs w:val="0"/>
          <w:color w:val="auto"/>
        </w:rPr>
        <w:t>that discussion</w:t>
      </w:r>
      <w:r w:rsidRPr="0092295D">
        <w:rPr>
          <w:i w:val="0"/>
          <w:iCs w:val="0"/>
          <w:color w:val="auto"/>
        </w:rPr>
        <w:t>, and hence, they will be subject to a late submission penalty of 20% reduction.</w:t>
      </w:r>
    </w:p>
    <w:p w14:paraId="73B38088" w14:textId="06B51021" w:rsidR="0092295D" w:rsidRPr="0092295D" w:rsidRDefault="0092295D" w:rsidP="0092295D">
      <w:pPr>
        <w:pStyle w:val="descriptions"/>
        <w:numPr>
          <w:ilvl w:val="0"/>
          <w:numId w:val="0"/>
        </w:numPr>
        <w:ind w:left="360"/>
        <w:rPr>
          <w:b/>
          <w:bCs/>
          <w:i w:val="0"/>
          <w:iCs w:val="0"/>
          <w:color w:val="auto"/>
        </w:rPr>
      </w:pPr>
    </w:p>
    <w:p w14:paraId="119F170F" w14:textId="0089DC61" w:rsidR="00863631" w:rsidRPr="00863631" w:rsidRDefault="0092295D" w:rsidP="00863631">
      <w:pPr>
        <w:pStyle w:val="descriptions"/>
        <w:numPr>
          <w:ilvl w:val="0"/>
          <w:numId w:val="0"/>
        </w:numPr>
        <w:rPr>
          <w:bCs/>
          <w:i w:val="0"/>
          <w:iCs w:val="0"/>
          <w:color w:val="auto"/>
        </w:rPr>
      </w:pPr>
      <w:r w:rsidRPr="00863631">
        <w:rPr>
          <w:b/>
          <w:bCs/>
          <w:i w:val="0"/>
          <w:iCs w:val="0"/>
          <w:color w:val="auto"/>
        </w:rPr>
        <w:t xml:space="preserve">Final letter grades: </w:t>
      </w:r>
      <w:r w:rsidR="00863631">
        <w:rPr>
          <w:i w:val="0"/>
          <w:iCs w:val="0"/>
          <w:color w:val="auto"/>
        </w:rPr>
        <w:t xml:space="preserve">The </w:t>
      </w:r>
      <w:r w:rsidR="00863631">
        <w:rPr>
          <w:bCs/>
          <w:i w:val="0"/>
          <w:iCs w:val="0"/>
          <w:color w:val="auto"/>
        </w:rPr>
        <w:t>w</w:t>
      </w:r>
      <w:r w:rsidR="00863631" w:rsidRPr="00863631">
        <w:rPr>
          <w:bCs/>
          <w:i w:val="0"/>
          <w:iCs w:val="0"/>
          <w:color w:val="auto"/>
        </w:rPr>
        <w:t>eighted average of the grade components will be used to assign final letter grades. The following tables are used to convert weighted grade averages to final letter grades. No rounding will be applied.</w:t>
      </w:r>
    </w:p>
    <w:p w14:paraId="1F4460E2" w14:textId="77777777" w:rsidR="00863631" w:rsidRPr="00863631" w:rsidRDefault="00863631" w:rsidP="00863631">
      <w:pPr>
        <w:pStyle w:val="descriptions"/>
        <w:numPr>
          <w:ilvl w:val="0"/>
          <w:numId w:val="0"/>
        </w:numPr>
        <w:rPr>
          <w:bCs/>
          <w:i w:val="0"/>
          <w:iCs w:val="0"/>
          <w:color w:val="auto"/>
        </w:rPr>
      </w:pPr>
      <w:r w:rsidRPr="00863631">
        <w:rPr>
          <w:bCs/>
          <w:i w:val="0"/>
          <w:iCs w:val="0"/>
          <w:color w:val="auto"/>
        </w:rPr>
        <w:t> </w:t>
      </w:r>
    </w:p>
    <w:p w14:paraId="1D458E0D" w14:textId="0D14924C" w:rsidR="00863631" w:rsidRDefault="00863631" w:rsidP="00863631">
      <w:pPr>
        <w:pStyle w:val="descriptions"/>
        <w:numPr>
          <w:ilvl w:val="0"/>
          <w:numId w:val="0"/>
        </w:numPr>
        <w:rPr>
          <w:bCs/>
          <w:i w:val="0"/>
          <w:iCs w:val="0"/>
          <w:color w:val="auto"/>
        </w:rPr>
      </w:pPr>
      <w:r w:rsidRPr="00863631">
        <w:rPr>
          <w:bCs/>
          <w:i w:val="0"/>
          <w:iCs w:val="0"/>
          <w:color w:val="auto"/>
        </w:rPr>
        <w:t xml:space="preserve">The instructor reserves the right to adjust numeric ranges, provided all adjustments are made fairly and uniformly for the entire class and to the benefit of the students. For example, if the class average turns out to be lower than anticipated, </w:t>
      </w:r>
      <w:r>
        <w:rPr>
          <w:bCs/>
          <w:i w:val="0"/>
          <w:iCs w:val="0"/>
          <w:color w:val="auto"/>
        </w:rPr>
        <w:t xml:space="preserve">the </w:t>
      </w:r>
      <w:r w:rsidRPr="00863631">
        <w:rPr>
          <w:bCs/>
          <w:i w:val="0"/>
          <w:iCs w:val="0"/>
          <w:color w:val="auto"/>
        </w:rPr>
        <w:t>instructor can choose to shift down the numeric ranges of letter grades.  </w:t>
      </w:r>
    </w:p>
    <w:p w14:paraId="693D36F6" w14:textId="6C7274E6" w:rsidR="00863631" w:rsidRDefault="00863631" w:rsidP="00863631">
      <w:pPr>
        <w:pStyle w:val="descriptions"/>
        <w:numPr>
          <w:ilvl w:val="0"/>
          <w:numId w:val="0"/>
        </w:numPr>
        <w:rPr>
          <w:bCs/>
          <w:i w:val="0"/>
          <w:iCs w:val="0"/>
          <w:color w:val="auto"/>
        </w:rPr>
      </w:pPr>
    </w:p>
    <w:p w14:paraId="692C0F6C" w14:textId="1DD70B9B" w:rsidR="00FA325F" w:rsidRDefault="00863631" w:rsidP="00FA325F">
      <w:pPr>
        <w:pStyle w:val="BodyText"/>
        <w:spacing w:after="0"/>
        <w:ind w:left="307" w:right="192"/>
        <w:rPr>
          <w:rFonts w:ascii="Georgia" w:hAnsi="Georgia"/>
          <w:color w:val="333E47"/>
          <w:sz w:val="20"/>
          <w:szCs w:val="20"/>
        </w:rPr>
      </w:pPr>
      <w:r w:rsidRPr="00863631">
        <w:rPr>
          <w:rFonts w:asciiTheme="majorBidi" w:hAnsiTheme="majorBidi" w:cstheme="majorBidi"/>
          <w:bCs/>
          <w:spacing w:val="-1"/>
          <w:bdr w:val="none" w:sz="0" w:space="0" w:color="auto" w:frame="1"/>
        </w:rPr>
        <w:t> </w:t>
      </w:r>
    </w:p>
    <w:p w14:paraId="5DE500CA" w14:textId="355C2A2A" w:rsidR="00FA325F" w:rsidRDefault="00FA325F" w:rsidP="00FA325F">
      <w:pPr>
        <w:pStyle w:val="BodyText"/>
        <w:spacing w:after="0"/>
        <w:ind w:left="307" w:right="192"/>
        <w:rPr>
          <w:rFonts w:ascii="Georgia" w:hAnsi="Georgia"/>
          <w:color w:val="333E47"/>
          <w:sz w:val="20"/>
          <w:szCs w:val="20"/>
        </w:rPr>
      </w:pPr>
    </w:p>
    <w:p w14:paraId="2BCA4C80" w14:textId="77777777" w:rsidR="00FA325F" w:rsidRDefault="00FA325F" w:rsidP="00FA325F">
      <w:pPr>
        <w:pStyle w:val="BodyText"/>
        <w:spacing w:after="0"/>
        <w:ind w:left="307" w:right="192"/>
        <w:rPr>
          <w:rFonts w:ascii="Georgia" w:hAnsi="Georgia"/>
          <w:color w:val="000000"/>
          <w:sz w:val="20"/>
          <w:szCs w:val="20"/>
        </w:rPr>
      </w:pPr>
    </w:p>
    <w:p w14:paraId="5A589A58" w14:textId="77777777" w:rsidR="00FA325F" w:rsidRDefault="00FA325F" w:rsidP="00FA325F">
      <w:pPr>
        <w:pStyle w:val="BodyText"/>
        <w:spacing w:after="0"/>
        <w:ind w:left="307" w:right="192"/>
        <w:rPr>
          <w:rFonts w:ascii="Georgia" w:hAnsi="Georgia"/>
          <w:color w:val="000000"/>
          <w:sz w:val="20"/>
          <w:szCs w:val="20"/>
        </w:rPr>
      </w:pPr>
      <w:r>
        <w:rPr>
          <w:rFonts w:ascii="Georgia" w:hAnsi="Georgia"/>
          <w:color w:val="333E47"/>
          <w:sz w:val="20"/>
          <w:szCs w:val="20"/>
        </w:rPr>
        <w:t> </w:t>
      </w:r>
    </w:p>
    <w:tbl>
      <w:tblPr>
        <w:tblW w:w="5000" w:type="pct"/>
        <w:tblCellMar>
          <w:left w:w="0" w:type="dxa"/>
          <w:right w:w="0" w:type="dxa"/>
        </w:tblCellMar>
        <w:tblLook w:val="04A0" w:firstRow="1" w:lastRow="0" w:firstColumn="1" w:lastColumn="0" w:noHBand="0" w:noVBand="1"/>
      </w:tblPr>
      <w:tblGrid>
        <w:gridCol w:w="6699"/>
        <w:gridCol w:w="2641"/>
      </w:tblGrid>
      <w:tr w:rsidR="00FA325F" w14:paraId="16EE11E4" w14:textId="77777777" w:rsidTr="00FA325F">
        <w:trPr>
          <w:trHeight w:val="20"/>
        </w:trPr>
        <w:tc>
          <w:tcPr>
            <w:tcW w:w="3550" w:type="pct"/>
            <w:tcBorders>
              <w:top w:val="single" w:sz="8" w:space="0" w:color="000000"/>
              <w:left w:val="single" w:sz="8" w:space="0" w:color="000000"/>
              <w:bottom w:val="single" w:sz="8" w:space="0" w:color="000000"/>
              <w:right w:val="single" w:sz="8" w:space="0" w:color="000000"/>
            </w:tcBorders>
            <w:shd w:val="clear" w:color="auto" w:fill="BE5600"/>
            <w:hideMark/>
          </w:tcPr>
          <w:p w14:paraId="14260254" w14:textId="77777777" w:rsidR="00FA325F" w:rsidRDefault="00FA325F">
            <w:pPr>
              <w:pStyle w:val="tableparagraph"/>
              <w:spacing w:before="0" w:beforeAutospacing="0" w:after="0" w:afterAutospacing="0" w:line="176" w:lineRule="atLeast"/>
              <w:ind w:left="467" w:right="898"/>
              <w:rPr>
                <w:rFonts w:ascii="Georgia" w:hAnsi="Georgia" w:cs="Calibri"/>
                <w:sz w:val="22"/>
                <w:szCs w:val="22"/>
              </w:rPr>
            </w:pPr>
            <w:r>
              <w:rPr>
                <w:rFonts w:ascii="Georgia" w:hAnsi="Georgia" w:cs="Calibri"/>
                <w:b/>
                <w:bCs/>
                <w:color w:val="FFFFFF"/>
                <w:sz w:val="20"/>
                <w:szCs w:val="20"/>
              </w:rPr>
              <w:lastRenderedPageBreak/>
              <w:t>Weighted average of grade components</w:t>
            </w:r>
          </w:p>
        </w:tc>
        <w:tc>
          <w:tcPr>
            <w:tcW w:w="1400" w:type="pct"/>
            <w:tcBorders>
              <w:top w:val="single" w:sz="8" w:space="0" w:color="000000"/>
              <w:left w:val="nil"/>
              <w:bottom w:val="single" w:sz="8" w:space="0" w:color="000000"/>
              <w:right w:val="single" w:sz="8" w:space="0" w:color="000000"/>
            </w:tcBorders>
            <w:shd w:val="clear" w:color="auto" w:fill="BE5600"/>
            <w:hideMark/>
          </w:tcPr>
          <w:p w14:paraId="11341A9F" w14:textId="77777777" w:rsidR="00FA325F" w:rsidRDefault="00FA325F">
            <w:pPr>
              <w:pStyle w:val="tableparagraph"/>
              <w:spacing w:before="0" w:beforeAutospacing="0" w:after="0" w:afterAutospacing="0" w:line="176" w:lineRule="atLeast"/>
              <w:ind w:left="104"/>
              <w:rPr>
                <w:rFonts w:ascii="Georgia" w:hAnsi="Georgia" w:cs="Calibri"/>
                <w:sz w:val="22"/>
                <w:szCs w:val="22"/>
              </w:rPr>
            </w:pPr>
            <w:r>
              <w:rPr>
                <w:rFonts w:ascii="Georgia" w:hAnsi="Georgia" w:cs="Calibri"/>
                <w:b/>
                <w:bCs/>
                <w:color w:val="FFFFFF"/>
                <w:sz w:val="20"/>
                <w:szCs w:val="20"/>
              </w:rPr>
              <w:t>Letter grade category</w:t>
            </w:r>
          </w:p>
        </w:tc>
      </w:tr>
      <w:tr w:rsidR="00FA325F" w14:paraId="39E4D481" w14:textId="77777777" w:rsidTr="00FA325F">
        <w:trPr>
          <w:trHeight w:val="20"/>
        </w:trPr>
        <w:tc>
          <w:tcPr>
            <w:tcW w:w="3550" w:type="pct"/>
            <w:tcBorders>
              <w:top w:val="nil"/>
              <w:left w:val="single" w:sz="8" w:space="0" w:color="000000"/>
              <w:bottom w:val="single" w:sz="8" w:space="0" w:color="000000"/>
              <w:right w:val="single" w:sz="8" w:space="0" w:color="000000"/>
            </w:tcBorders>
            <w:hideMark/>
          </w:tcPr>
          <w:p w14:paraId="46312049" w14:textId="77777777" w:rsidR="00FA325F" w:rsidRDefault="00FA325F">
            <w:pPr>
              <w:pStyle w:val="tableparagraph"/>
              <w:spacing w:before="0" w:beforeAutospacing="0" w:after="0" w:afterAutospacing="0" w:line="176" w:lineRule="atLeast"/>
              <w:ind w:left="904" w:right="898"/>
              <w:jc w:val="center"/>
              <w:rPr>
                <w:rFonts w:ascii="Georgia" w:hAnsi="Georgia" w:cs="Calibri"/>
                <w:sz w:val="22"/>
                <w:szCs w:val="22"/>
              </w:rPr>
            </w:pPr>
            <w:r>
              <w:rPr>
                <w:rFonts w:ascii="Georgia" w:hAnsi="Georgia" w:cs="Calibri"/>
                <w:sz w:val="20"/>
                <w:szCs w:val="20"/>
              </w:rPr>
              <w:t>90-100</w:t>
            </w:r>
          </w:p>
        </w:tc>
        <w:tc>
          <w:tcPr>
            <w:tcW w:w="1400" w:type="pct"/>
            <w:tcBorders>
              <w:top w:val="nil"/>
              <w:left w:val="nil"/>
              <w:bottom w:val="single" w:sz="8" w:space="0" w:color="000000"/>
              <w:right w:val="single" w:sz="8" w:space="0" w:color="000000"/>
            </w:tcBorders>
            <w:hideMark/>
          </w:tcPr>
          <w:p w14:paraId="65B05CCB" w14:textId="77777777" w:rsidR="00FA325F" w:rsidRDefault="00FA325F">
            <w:pPr>
              <w:pStyle w:val="tableparagraph"/>
              <w:spacing w:before="0" w:beforeAutospacing="0" w:after="0" w:afterAutospacing="0" w:line="176" w:lineRule="atLeast"/>
              <w:ind w:left="104"/>
              <w:rPr>
                <w:rFonts w:ascii="Georgia" w:hAnsi="Georgia" w:cs="Calibri"/>
                <w:sz w:val="22"/>
                <w:szCs w:val="22"/>
              </w:rPr>
            </w:pPr>
            <w:r>
              <w:rPr>
                <w:rFonts w:ascii="Georgia" w:hAnsi="Georgia" w:cs="Calibri"/>
                <w:sz w:val="20"/>
                <w:szCs w:val="20"/>
              </w:rPr>
              <w:t>A</w:t>
            </w:r>
          </w:p>
        </w:tc>
      </w:tr>
      <w:tr w:rsidR="00FA325F" w14:paraId="09EDE206" w14:textId="77777777" w:rsidTr="00FA325F">
        <w:trPr>
          <w:trHeight w:val="20"/>
        </w:trPr>
        <w:tc>
          <w:tcPr>
            <w:tcW w:w="3550" w:type="pct"/>
            <w:tcBorders>
              <w:top w:val="nil"/>
              <w:left w:val="single" w:sz="8" w:space="0" w:color="000000"/>
              <w:bottom w:val="single" w:sz="8" w:space="0" w:color="000000"/>
              <w:right w:val="single" w:sz="8" w:space="0" w:color="000000"/>
            </w:tcBorders>
            <w:hideMark/>
          </w:tcPr>
          <w:p w14:paraId="1AB91CE7" w14:textId="77777777" w:rsidR="00FA325F" w:rsidRDefault="00FA325F">
            <w:pPr>
              <w:pStyle w:val="tableparagraph"/>
              <w:spacing w:before="0" w:beforeAutospacing="0" w:after="0" w:afterAutospacing="0" w:line="176" w:lineRule="atLeast"/>
              <w:ind w:left="904" w:right="900"/>
              <w:jc w:val="center"/>
              <w:rPr>
                <w:rFonts w:ascii="Georgia" w:hAnsi="Georgia" w:cs="Calibri"/>
                <w:sz w:val="22"/>
                <w:szCs w:val="22"/>
              </w:rPr>
            </w:pPr>
            <w:r>
              <w:rPr>
                <w:rFonts w:ascii="Georgia" w:hAnsi="Georgia" w:cs="Calibri"/>
                <w:sz w:val="20"/>
                <w:szCs w:val="20"/>
              </w:rPr>
              <w:t>80-89.99</w:t>
            </w:r>
          </w:p>
        </w:tc>
        <w:tc>
          <w:tcPr>
            <w:tcW w:w="1400" w:type="pct"/>
            <w:tcBorders>
              <w:top w:val="nil"/>
              <w:left w:val="nil"/>
              <w:bottom w:val="single" w:sz="8" w:space="0" w:color="000000"/>
              <w:right w:val="single" w:sz="8" w:space="0" w:color="000000"/>
            </w:tcBorders>
            <w:hideMark/>
          </w:tcPr>
          <w:p w14:paraId="4A967AB2" w14:textId="77777777" w:rsidR="00FA325F" w:rsidRDefault="00FA325F">
            <w:pPr>
              <w:pStyle w:val="tableparagraph"/>
              <w:spacing w:before="0" w:beforeAutospacing="0" w:after="0" w:afterAutospacing="0" w:line="176" w:lineRule="atLeast"/>
              <w:ind w:left="104"/>
              <w:rPr>
                <w:rFonts w:ascii="Georgia" w:hAnsi="Georgia" w:cs="Calibri"/>
                <w:sz w:val="22"/>
                <w:szCs w:val="22"/>
              </w:rPr>
            </w:pPr>
            <w:r>
              <w:rPr>
                <w:rFonts w:ascii="Georgia" w:hAnsi="Georgia" w:cs="Calibri"/>
                <w:sz w:val="20"/>
                <w:szCs w:val="20"/>
              </w:rPr>
              <w:t>B</w:t>
            </w:r>
          </w:p>
        </w:tc>
      </w:tr>
      <w:tr w:rsidR="00FA325F" w14:paraId="7A2607DE" w14:textId="77777777" w:rsidTr="00FA325F">
        <w:trPr>
          <w:trHeight w:val="20"/>
        </w:trPr>
        <w:tc>
          <w:tcPr>
            <w:tcW w:w="3550" w:type="pct"/>
            <w:tcBorders>
              <w:top w:val="nil"/>
              <w:left w:val="single" w:sz="8" w:space="0" w:color="000000"/>
              <w:bottom w:val="single" w:sz="8" w:space="0" w:color="000000"/>
              <w:right w:val="single" w:sz="8" w:space="0" w:color="000000"/>
            </w:tcBorders>
            <w:hideMark/>
          </w:tcPr>
          <w:p w14:paraId="0604AE1D" w14:textId="77777777" w:rsidR="00FA325F" w:rsidRDefault="00FA325F">
            <w:pPr>
              <w:pStyle w:val="tableparagraph"/>
              <w:spacing w:before="0" w:beforeAutospacing="0" w:after="0" w:afterAutospacing="0" w:line="176" w:lineRule="atLeast"/>
              <w:ind w:left="904" w:right="900"/>
              <w:jc w:val="center"/>
              <w:rPr>
                <w:rFonts w:ascii="Georgia" w:hAnsi="Georgia" w:cs="Calibri"/>
                <w:sz w:val="22"/>
                <w:szCs w:val="22"/>
              </w:rPr>
            </w:pPr>
            <w:r>
              <w:rPr>
                <w:rFonts w:ascii="Georgia" w:hAnsi="Georgia" w:cs="Calibri"/>
                <w:sz w:val="20"/>
                <w:szCs w:val="20"/>
              </w:rPr>
              <w:t>70-79.99</w:t>
            </w:r>
          </w:p>
        </w:tc>
        <w:tc>
          <w:tcPr>
            <w:tcW w:w="1400" w:type="pct"/>
            <w:tcBorders>
              <w:top w:val="nil"/>
              <w:left w:val="nil"/>
              <w:bottom w:val="single" w:sz="8" w:space="0" w:color="000000"/>
              <w:right w:val="single" w:sz="8" w:space="0" w:color="000000"/>
            </w:tcBorders>
            <w:hideMark/>
          </w:tcPr>
          <w:p w14:paraId="7C984F45" w14:textId="77777777" w:rsidR="00FA325F" w:rsidRDefault="00FA325F">
            <w:pPr>
              <w:pStyle w:val="tableparagraph"/>
              <w:spacing w:before="0" w:beforeAutospacing="0" w:after="0" w:afterAutospacing="0" w:line="176" w:lineRule="atLeast"/>
              <w:ind w:left="104"/>
              <w:rPr>
                <w:rFonts w:ascii="Georgia" w:hAnsi="Georgia" w:cs="Calibri"/>
                <w:sz w:val="22"/>
                <w:szCs w:val="22"/>
              </w:rPr>
            </w:pPr>
            <w:r>
              <w:rPr>
                <w:rFonts w:ascii="Georgia" w:hAnsi="Georgia" w:cs="Calibri"/>
                <w:sz w:val="20"/>
                <w:szCs w:val="20"/>
              </w:rPr>
              <w:t>C</w:t>
            </w:r>
          </w:p>
        </w:tc>
      </w:tr>
      <w:tr w:rsidR="00FA325F" w14:paraId="288F9A39" w14:textId="77777777" w:rsidTr="00FA325F">
        <w:trPr>
          <w:trHeight w:val="20"/>
        </w:trPr>
        <w:tc>
          <w:tcPr>
            <w:tcW w:w="3550" w:type="pct"/>
            <w:tcBorders>
              <w:top w:val="nil"/>
              <w:left w:val="single" w:sz="8" w:space="0" w:color="000000"/>
              <w:bottom w:val="single" w:sz="8" w:space="0" w:color="000000"/>
              <w:right w:val="single" w:sz="8" w:space="0" w:color="000000"/>
            </w:tcBorders>
            <w:hideMark/>
          </w:tcPr>
          <w:p w14:paraId="2008CEF4" w14:textId="77777777" w:rsidR="00FA325F" w:rsidRDefault="00FA325F">
            <w:pPr>
              <w:pStyle w:val="tableparagraph"/>
              <w:spacing w:before="0" w:beforeAutospacing="0" w:after="0" w:afterAutospacing="0" w:line="176" w:lineRule="atLeast"/>
              <w:ind w:left="904" w:right="898"/>
              <w:jc w:val="center"/>
              <w:rPr>
                <w:rFonts w:ascii="Georgia" w:hAnsi="Georgia" w:cs="Calibri"/>
                <w:sz w:val="22"/>
                <w:szCs w:val="22"/>
              </w:rPr>
            </w:pPr>
            <w:r>
              <w:rPr>
                <w:rFonts w:ascii="Georgia" w:hAnsi="Georgia" w:cs="Calibri"/>
                <w:sz w:val="20"/>
                <w:szCs w:val="20"/>
              </w:rPr>
              <w:t>60-69.99</w:t>
            </w:r>
          </w:p>
        </w:tc>
        <w:tc>
          <w:tcPr>
            <w:tcW w:w="1400" w:type="pct"/>
            <w:tcBorders>
              <w:top w:val="nil"/>
              <w:left w:val="nil"/>
              <w:bottom w:val="single" w:sz="8" w:space="0" w:color="000000"/>
              <w:right w:val="single" w:sz="8" w:space="0" w:color="000000"/>
            </w:tcBorders>
            <w:hideMark/>
          </w:tcPr>
          <w:p w14:paraId="0CF8317F" w14:textId="77777777" w:rsidR="00FA325F" w:rsidRDefault="00FA325F">
            <w:pPr>
              <w:pStyle w:val="tableparagraph"/>
              <w:spacing w:before="0" w:beforeAutospacing="0" w:after="0" w:afterAutospacing="0" w:line="176" w:lineRule="atLeast"/>
              <w:ind w:left="104"/>
              <w:rPr>
                <w:rFonts w:ascii="Georgia" w:hAnsi="Georgia" w:cs="Calibri"/>
                <w:sz w:val="22"/>
                <w:szCs w:val="22"/>
              </w:rPr>
            </w:pPr>
            <w:r>
              <w:rPr>
                <w:rFonts w:ascii="Georgia" w:hAnsi="Georgia" w:cs="Calibri"/>
                <w:sz w:val="20"/>
                <w:szCs w:val="20"/>
              </w:rPr>
              <w:t>D</w:t>
            </w:r>
          </w:p>
        </w:tc>
      </w:tr>
      <w:tr w:rsidR="00FA325F" w14:paraId="402A2E51" w14:textId="77777777" w:rsidTr="00FA325F">
        <w:trPr>
          <w:trHeight w:val="20"/>
        </w:trPr>
        <w:tc>
          <w:tcPr>
            <w:tcW w:w="3550" w:type="pct"/>
            <w:tcBorders>
              <w:top w:val="nil"/>
              <w:left w:val="single" w:sz="8" w:space="0" w:color="000000"/>
              <w:bottom w:val="single" w:sz="8" w:space="0" w:color="000000"/>
              <w:right w:val="single" w:sz="8" w:space="0" w:color="000000"/>
            </w:tcBorders>
            <w:hideMark/>
          </w:tcPr>
          <w:p w14:paraId="281C4251" w14:textId="77777777" w:rsidR="00FA325F" w:rsidRDefault="00FA325F">
            <w:pPr>
              <w:pStyle w:val="tableparagraph"/>
              <w:spacing w:before="0" w:beforeAutospacing="0" w:after="0" w:afterAutospacing="0" w:line="176" w:lineRule="atLeast"/>
              <w:ind w:left="904" w:right="900"/>
              <w:jc w:val="center"/>
              <w:rPr>
                <w:rFonts w:ascii="Georgia" w:hAnsi="Georgia" w:cs="Calibri"/>
                <w:sz w:val="22"/>
                <w:szCs w:val="22"/>
              </w:rPr>
            </w:pPr>
            <w:r>
              <w:rPr>
                <w:rFonts w:ascii="Georgia" w:hAnsi="Georgia" w:cs="Calibri"/>
                <w:sz w:val="20"/>
                <w:szCs w:val="20"/>
              </w:rPr>
              <w:t>00-59.99</w:t>
            </w:r>
          </w:p>
        </w:tc>
        <w:tc>
          <w:tcPr>
            <w:tcW w:w="1400" w:type="pct"/>
            <w:tcBorders>
              <w:top w:val="nil"/>
              <w:left w:val="nil"/>
              <w:bottom w:val="single" w:sz="8" w:space="0" w:color="000000"/>
              <w:right w:val="single" w:sz="8" w:space="0" w:color="000000"/>
            </w:tcBorders>
            <w:hideMark/>
          </w:tcPr>
          <w:p w14:paraId="5F28ED73" w14:textId="77777777" w:rsidR="00FA325F" w:rsidRDefault="00FA325F">
            <w:pPr>
              <w:pStyle w:val="tableparagraph"/>
              <w:spacing w:before="0" w:beforeAutospacing="0" w:after="0" w:afterAutospacing="0" w:line="176" w:lineRule="atLeast"/>
              <w:ind w:left="104"/>
              <w:rPr>
                <w:rFonts w:ascii="Georgia" w:hAnsi="Georgia" w:cs="Calibri"/>
                <w:sz w:val="22"/>
                <w:szCs w:val="22"/>
              </w:rPr>
            </w:pPr>
            <w:r>
              <w:rPr>
                <w:rFonts w:ascii="Georgia" w:hAnsi="Georgia" w:cs="Calibri"/>
                <w:sz w:val="20"/>
                <w:szCs w:val="20"/>
              </w:rPr>
              <w:t>F</w:t>
            </w:r>
          </w:p>
        </w:tc>
      </w:tr>
    </w:tbl>
    <w:p w14:paraId="713B3BF4" w14:textId="77777777" w:rsidR="00FA325F" w:rsidRDefault="00FA325F" w:rsidP="00FA325F">
      <w:pPr>
        <w:pStyle w:val="BodyText"/>
        <w:spacing w:after="0"/>
        <w:ind w:left="307" w:right="192"/>
        <w:rPr>
          <w:rFonts w:ascii="Georgia" w:hAnsi="Georgia"/>
          <w:color w:val="333E47"/>
          <w:sz w:val="20"/>
          <w:szCs w:val="20"/>
        </w:rPr>
      </w:pPr>
    </w:p>
    <w:p w14:paraId="7F008ED1" w14:textId="77777777" w:rsidR="00FA325F" w:rsidRDefault="00FA325F" w:rsidP="00FA325F">
      <w:pPr>
        <w:pStyle w:val="BodyText"/>
        <w:spacing w:after="0"/>
        <w:ind w:left="307" w:right="192"/>
        <w:rPr>
          <w:rFonts w:ascii="Georgia" w:hAnsi="Georgia"/>
          <w:color w:val="333E47"/>
          <w:sz w:val="20"/>
          <w:szCs w:val="20"/>
        </w:rPr>
      </w:pPr>
    </w:p>
    <w:p w14:paraId="2D3FB597" w14:textId="08780265" w:rsidR="00FA325F" w:rsidRDefault="00FA325F" w:rsidP="00FA325F">
      <w:pPr>
        <w:pStyle w:val="BodyText"/>
        <w:spacing w:after="0"/>
        <w:ind w:left="307" w:right="192"/>
        <w:rPr>
          <w:rFonts w:ascii="Georgia" w:hAnsi="Georgia"/>
          <w:color w:val="000000"/>
          <w:sz w:val="20"/>
          <w:szCs w:val="20"/>
        </w:rPr>
      </w:pPr>
      <w:r>
        <w:rPr>
          <w:rFonts w:ascii="Georgia" w:hAnsi="Georgia"/>
          <w:color w:val="333E47"/>
          <w:sz w:val="20"/>
          <w:szCs w:val="20"/>
        </w:rPr>
        <w:t>The instructor also reserves the right to use the +/- assignment of letter grades:</w:t>
      </w:r>
    </w:p>
    <w:tbl>
      <w:tblPr>
        <w:tblW w:w="5000" w:type="pct"/>
        <w:tblCellMar>
          <w:left w:w="0" w:type="dxa"/>
          <w:right w:w="0" w:type="dxa"/>
        </w:tblCellMar>
        <w:tblLook w:val="04A0" w:firstRow="1" w:lastRow="0" w:firstColumn="1" w:lastColumn="0" w:noHBand="0" w:noVBand="1"/>
      </w:tblPr>
      <w:tblGrid>
        <w:gridCol w:w="6699"/>
        <w:gridCol w:w="2641"/>
      </w:tblGrid>
      <w:tr w:rsidR="00FA325F" w14:paraId="53C29237" w14:textId="77777777" w:rsidTr="00FA325F">
        <w:trPr>
          <w:trHeight w:val="20"/>
        </w:trPr>
        <w:tc>
          <w:tcPr>
            <w:tcW w:w="3550" w:type="pct"/>
            <w:tcBorders>
              <w:top w:val="single" w:sz="8" w:space="0" w:color="000000"/>
              <w:left w:val="single" w:sz="8" w:space="0" w:color="000000"/>
              <w:bottom w:val="single" w:sz="8" w:space="0" w:color="000000"/>
              <w:right w:val="single" w:sz="8" w:space="0" w:color="000000"/>
            </w:tcBorders>
            <w:shd w:val="clear" w:color="auto" w:fill="BE5600"/>
            <w:hideMark/>
          </w:tcPr>
          <w:p w14:paraId="0026255F" w14:textId="77777777" w:rsidR="00FA325F" w:rsidRDefault="00FA325F">
            <w:pPr>
              <w:pStyle w:val="tableparagraph"/>
              <w:spacing w:before="0" w:beforeAutospacing="0" w:after="0" w:afterAutospacing="0" w:line="176" w:lineRule="atLeast"/>
              <w:ind w:left="467" w:right="898"/>
              <w:rPr>
                <w:rFonts w:ascii="Georgia" w:hAnsi="Georgia" w:cs="Calibri"/>
                <w:sz w:val="22"/>
                <w:szCs w:val="22"/>
              </w:rPr>
            </w:pPr>
            <w:r>
              <w:rPr>
                <w:rFonts w:ascii="Georgia" w:hAnsi="Georgia" w:cs="Calibri"/>
                <w:b/>
                <w:bCs/>
                <w:color w:val="FFFFFF"/>
                <w:sz w:val="20"/>
                <w:szCs w:val="20"/>
              </w:rPr>
              <w:t> </w:t>
            </w:r>
          </w:p>
        </w:tc>
        <w:tc>
          <w:tcPr>
            <w:tcW w:w="1400" w:type="pct"/>
            <w:tcBorders>
              <w:top w:val="single" w:sz="8" w:space="0" w:color="000000"/>
              <w:left w:val="nil"/>
              <w:bottom w:val="single" w:sz="8" w:space="0" w:color="000000"/>
              <w:right w:val="single" w:sz="8" w:space="0" w:color="000000"/>
            </w:tcBorders>
            <w:shd w:val="clear" w:color="auto" w:fill="BE5600"/>
            <w:hideMark/>
          </w:tcPr>
          <w:p w14:paraId="527453E0" w14:textId="77777777" w:rsidR="00FA325F" w:rsidRDefault="00FA325F">
            <w:pPr>
              <w:pStyle w:val="tableparagraph"/>
              <w:spacing w:before="0" w:beforeAutospacing="0" w:after="0" w:afterAutospacing="0" w:line="176" w:lineRule="atLeast"/>
              <w:ind w:left="104"/>
              <w:rPr>
                <w:rFonts w:ascii="Georgia" w:hAnsi="Georgia" w:cs="Calibri"/>
                <w:sz w:val="22"/>
                <w:szCs w:val="22"/>
              </w:rPr>
            </w:pPr>
            <w:r>
              <w:rPr>
                <w:rFonts w:ascii="Georgia" w:hAnsi="Georgia" w:cs="Calibri"/>
                <w:b/>
                <w:bCs/>
                <w:color w:val="FFFFFF"/>
                <w:sz w:val="20"/>
                <w:szCs w:val="20"/>
              </w:rPr>
              <w:t> </w:t>
            </w:r>
          </w:p>
        </w:tc>
      </w:tr>
      <w:tr w:rsidR="00FA325F" w14:paraId="475979AE" w14:textId="77777777" w:rsidTr="00FA325F">
        <w:trPr>
          <w:trHeight w:val="20"/>
        </w:trPr>
        <w:tc>
          <w:tcPr>
            <w:tcW w:w="3550" w:type="pct"/>
            <w:tcBorders>
              <w:top w:val="nil"/>
              <w:left w:val="single" w:sz="8" w:space="0" w:color="000000"/>
              <w:bottom w:val="single" w:sz="8" w:space="0" w:color="000000"/>
              <w:right w:val="single" w:sz="8" w:space="0" w:color="000000"/>
            </w:tcBorders>
            <w:hideMark/>
          </w:tcPr>
          <w:p w14:paraId="6A702809" w14:textId="77777777" w:rsidR="00FA325F" w:rsidRDefault="00FA325F">
            <w:pPr>
              <w:pStyle w:val="tableparagraph"/>
              <w:spacing w:before="0" w:beforeAutospacing="0" w:after="0" w:afterAutospacing="0" w:line="176" w:lineRule="atLeast"/>
              <w:ind w:left="904" w:right="898"/>
              <w:jc w:val="center"/>
              <w:rPr>
                <w:rFonts w:ascii="Georgia" w:hAnsi="Georgia" w:cs="Calibri"/>
                <w:sz w:val="22"/>
                <w:szCs w:val="22"/>
              </w:rPr>
            </w:pPr>
            <w:r>
              <w:rPr>
                <w:rFonts w:ascii="Georgia" w:hAnsi="Georgia" w:cs="Calibri"/>
                <w:sz w:val="20"/>
                <w:szCs w:val="20"/>
              </w:rPr>
              <w:t>95-100</w:t>
            </w:r>
          </w:p>
        </w:tc>
        <w:tc>
          <w:tcPr>
            <w:tcW w:w="1400" w:type="pct"/>
            <w:tcBorders>
              <w:top w:val="nil"/>
              <w:left w:val="nil"/>
              <w:bottom w:val="single" w:sz="8" w:space="0" w:color="000000"/>
              <w:right w:val="single" w:sz="8" w:space="0" w:color="000000"/>
            </w:tcBorders>
            <w:hideMark/>
          </w:tcPr>
          <w:p w14:paraId="6BBCDC39" w14:textId="77777777" w:rsidR="00FA325F" w:rsidRDefault="00FA325F">
            <w:pPr>
              <w:pStyle w:val="tableparagraph"/>
              <w:spacing w:before="0" w:beforeAutospacing="0" w:after="0" w:afterAutospacing="0" w:line="176" w:lineRule="atLeast"/>
              <w:ind w:left="104"/>
              <w:rPr>
                <w:rFonts w:ascii="Georgia" w:hAnsi="Georgia" w:cs="Calibri"/>
                <w:sz w:val="22"/>
                <w:szCs w:val="22"/>
              </w:rPr>
            </w:pPr>
            <w:r>
              <w:rPr>
                <w:rFonts w:ascii="Georgia" w:hAnsi="Georgia" w:cs="Calibri"/>
                <w:sz w:val="20"/>
                <w:szCs w:val="20"/>
              </w:rPr>
              <w:t>A</w:t>
            </w:r>
          </w:p>
        </w:tc>
      </w:tr>
      <w:tr w:rsidR="00FA325F" w14:paraId="07E52DA8" w14:textId="77777777" w:rsidTr="00FA325F">
        <w:trPr>
          <w:trHeight w:val="20"/>
        </w:trPr>
        <w:tc>
          <w:tcPr>
            <w:tcW w:w="3550" w:type="pct"/>
            <w:tcBorders>
              <w:top w:val="nil"/>
              <w:left w:val="single" w:sz="8" w:space="0" w:color="000000"/>
              <w:bottom w:val="single" w:sz="8" w:space="0" w:color="000000"/>
              <w:right w:val="single" w:sz="8" w:space="0" w:color="000000"/>
            </w:tcBorders>
            <w:hideMark/>
          </w:tcPr>
          <w:p w14:paraId="4E9DF588" w14:textId="77777777" w:rsidR="00FA325F" w:rsidRDefault="00FA325F">
            <w:pPr>
              <w:pStyle w:val="tableparagraph"/>
              <w:spacing w:before="0" w:beforeAutospacing="0" w:after="0" w:afterAutospacing="0" w:line="176" w:lineRule="atLeast"/>
              <w:ind w:left="904" w:right="900"/>
              <w:jc w:val="center"/>
              <w:rPr>
                <w:rFonts w:ascii="Georgia" w:hAnsi="Georgia" w:cs="Calibri"/>
                <w:sz w:val="22"/>
                <w:szCs w:val="22"/>
              </w:rPr>
            </w:pPr>
            <w:r>
              <w:rPr>
                <w:rFonts w:ascii="Georgia" w:hAnsi="Georgia" w:cs="Calibri"/>
                <w:sz w:val="20"/>
                <w:szCs w:val="20"/>
              </w:rPr>
              <w:t>90-94.99</w:t>
            </w:r>
          </w:p>
        </w:tc>
        <w:tc>
          <w:tcPr>
            <w:tcW w:w="1400" w:type="pct"/>
            <w:tcBorders>
              <w:top w:val="nil"/>
              <w:left w:val="nil"/>
              <w:bottom w:val="single" w:sz="8" w:space="0" w:color="000000"/>
              <w:right w:val="single" w:sz="8" w:space="0" w:color="000000"/>
            </w:tcBorders>
            <w:hideMark/>
          </w:tcPr>
          <w:p w14:paraId="1CE13CC6" w14:textId="77777777" w:rsidR="00FA325F" w:rsidRDefault="00FA325F">
            <w:pPr>
              <w:pStyle w:val="tableparagraph"/>
              <w:spacing w:before="0" w:beforeAutospacing="0" w:after="0" w:afterAutospacing="0" w:line="176" w:lineRule="atLeast"/>
              <w:ind w:left="104"/>
              <w:rPr>
                <w:rFonts w:ascii="Georgia" w:hAnsi="Georgia" w:cs="Calibri"/>
                <w:sz w:val="22"/>
                <w:szCs w:val="22"/>
              </w:rPr>
            </w:pPr>
            <w:r>
              <w:rPr>
                <w:rFonts w:ascii="Georgia" w:hAnsi="Georgia" w:cs="Calibri"/>
                <w:sz w:val="20"/>
                <w:szCs w:val="20"/>
              </w:rPr>
              <w:t>A-</w:t>
            </w:r>
          </w:p>
        </w:tc>
      </w:tr>
      <w:tr w:rsidR="00FA325F" w14:paraId="1139BACB" w14:textId="77777777" w:rsidTr="00FA325F">
        <w:trPr>
          <w:trHeight w:val="20"/>
        </w:trPr>
        <w:tc>
          <w:tcPr>
            <w:tcW w:w="3550" w:type="pct"/>
            <w:tcBorders>
              <w:top w:val="nil"/>
              <w:left w:val="single" w:sz="8" w:space="0" w:color="000000"/>
              <w:bottom w:val="single" w:sz="8" w:space="0" w:color="000000"/>
              <w:right w:val="single" w:sz="8" w:space="0" w:color="000000"/>
            </w:tcBorders>
            <w:hideMark/>
          </w:tcPr>
          <w:p w14:paraId="7E154292" w14:textId="77777777" w:rsidR="00FA325F" w:rsidRDefault="00FA325F">
            <w:pPr>
              <w:pStyle w:val="tableparagraph"/>
              <w:spacing w:before="0" w:beforeAutospacing="0" w:after="0" w:afterAutospacing="0" w:line="176" w:lineRule="atLeast"/>
              <w:ind w:left="904" w:right="900"/>
              <w:jc w:val="center"/>
              <w:rPr>
                <w:rFonts w:ascii="Georgia" w:hAnsi="Georgia" w:cs="Calibri"/>
                <w:sz w:val="22"/>
                <w:szCs w:val="22"/>
              </w:rPr>
            </w:pPr>
            <w:r>
              <w:rPr>
                <w:rFonts w:ascii="Georgia" w:hAnsi="Georgia" w:cs="Calibri"/>
                <w:sz w:val="20"/>
                <w:szCs w:val="20"/>
              </w:rPr>
              <w:t>87-89.99</w:t>
            </w:r>
          </w:p>
        </w:tc>
        <w:tc>
          <w:tcPr>
            <w:tcW w:w="1400" w:type="pct"/>
            <w:tcBorders>
              <w:top w:val="nil"/>
              <w:left w:val="nil"/>
              <w:bottom w:val="single" w:sz="8" w:space="0" w:color="000000"/>
              <w:right w:val="single" w:sz="8" w:space="0" w:color="000000"/>
            </w:tcBorders>
            <w:hideMark/>
          </w:tcPr>
          <w:p w14:paraId="10A7D241" w14:textId="77777777" w:rsidR="00FA325F" w:rsidRDefault="00FA325F">
            <w:pPr>
              <w:pStyle w:val="tableparagraph"/>
              <w:spacing w:before="0" w:beforeAutospacing="0" w:after="0" w:afterAutospacing="0" w:line="176" w:lineRule="atLeast"/>
              <w:ind w:left="104"/>
              <w:rPr>
                <w:rFonts w:ascii="Georgia" w:hAnsi="Georgia" w:cs="Calibri"/>
                <w:sz w:val="22"/>
                <w:szCs w:val="22"/>
              </w:rPr>
            </w:pPr>
            <w:r>
              <w:rPr>
                <w:rFonts w:ascii="Georgia" w:hAnsi="Georgia" w:cs="Calibri"/>
                <w:sz w:val="20"/>
                <w:szCs w:val="20"/>
              </w:rPr>
              <w:t>B+</w:t>
            </w:r>
          </w:p>
        </w:tc>
      </w:tr>
      <w:tr w:rsidR="00FA325F" w14:paraId="013B9A51" w14:textId="77777777" w:rsidTr="00FA325F">
        <w:trPr>
          <w:trHeight w:val="20"/>
        </w:trPr>
        <w:tc>
          <w:tcPr>
            <w:tcW w:w="3550" w:type="pct"/>
            <w:tcBorders>
              <w:top w:val="nil"/>
              <w:left w:val="single" w:sz="8" w:space="0" w:color="000000"/>
              <w:bottom w:val="single" w:sz="8" w:space="0" w:color="000000"/>
              <w:right w:val="single" w:sz="8" w:space="0" w:color="000000"/>
            </w:tcBorders>
            <w:hideMark/>
          </w:tcPr>
          <w:p w14:paraId="6EBFB38B" w14:textId="77777777" w:rsidR="00FA325F" w:rsidRDefault="00FA325F">
            <w:pPr>
              <w:pStyle w:val="tableparagraph"/>
              <w:spacing w:before="0" w:beforeAutospacing="0" w:after="0" w:afterAutospacing="0" w:line="176" w:lineRule="atLeast"/>
              <w:ind w:left="904" w:right="898"/>
              <w:jc w:val="center"/>
              <w:rPr>
                <w:rFonts w:ascii="Georgia" w:hAnsi="Georgia" w:cs="Calibri"/>
                <w:sz w:val="22"/>
                <w:szCs w:val="22"/>
              </w:rPr>
            </w:pPr>
            <w:r>
              <w:rPr>
                <w:rFonts w:ascii="Georgia" w:hAnsi="Georgia" w:cs="Calibri"/>
                <w:sz w:val="20"/>
                <w:szCs w:val="20"/>
              </w:rPr>
              <w:t>84-86.99</w:t>
            </w:r>
          </w:p>
        </w:tc>
        <w:tc>
          <w:tcPr>
            <w:tcW w:w="1400" w:type="pct"/>
            <w:tcBorders>
              <w:top w:val="nil"/>
              <w:left w:val="nil"/>
              <w:bottom w:val="single" w:sz="8" w:space="0" w:color="000000"/>
              <w:right w:val="single" w:sz="8" w:space="0" w:color="000000"/>
            </w:tcBorders>
            <w:hideMark/>
          </w:tcPr>
          <w:p w14:paraId="4B57C55F" w14:textId="77777777" w:rsidR="00FA325F" w:rsidRDefault="00FA325F">
            <w:pPr>
              <w:pStyle w:val="tableparagraph"/>
              <w:spacing w:before="0" w:beforeAutospacing="0" w:after="0" w:afterAutospacing="0" w:line="176" w:lineRule="atLeast"/>
              <w:ind w:left="104"/>
              <w:rPr>
                <w:rFonts w:ascii="Georgia" w:hAnsi="Georgia" w:cs="Calibri"/>
                <w:sz w:val="22"/>
                <w:szCs w:val="22"/>
              </w:rPr>
            </w:pPr>
            <w:r>
              <w:rPr>
                <w:rFonts w:ascii="Georgia" w:hAnsi="Georgia" w:cs="Calibri"/>
                <w:sz w:val="20"/>
                <w:szCs w:val="20"/>
              </w:rPr>
              <w:t>B</w:t>
            </w:r>
          </w:p>
        </w:tc>
      </w:tr>
      <w:tr w:rsidR="00FA325F" w14:paraId="6065588A" w14:textId="77777777" w:rsidTr="00FA325F">
        <w:trPr>
          <w:trHeight w:val="20"/>
        </w:trPr>
        <w:tc>
          <w:tcPr>
            <w:tcW w:w="3550" w:type="pct"/>
            <w:tcBorders>
              <w:top w:val="nil"/>
              <w:left w:val="single" w:sz="8" w:space="0" w:color="000000"/>
              <w:bottom w:val="single" w:sz="8" w:space="0" w:color="000000"/>
              <w:right w:val="single" w:sz="8" w:space="0" w:color="000000"/>
            </w:tcBorders>
            <w:hideMark/>
          </w:tcPr>
          <w:p w14:paraId="669BCFDE" w14:textId="77777777" w:rsidR="00FA325F" w:rsidRDefault="00FA325F">
            <w:pPr>
              <w:pStyle w:val="tableparagraph"/>
              <w:spacing w:before="0" w:beforeAutospacing="0" w:after="0" w:afterAutospacing="0" w:line="176" w:lineRule="atLeast"/>
              <w:ind w:left="904" w:right="898"/>
              <w:jc w:val="center"/>
              <w:rPr>
                <w:rFonts w:ascii="Georgia" w:hAnsi="Georgia" w:cs="Calibri"/>
                <w:sz w:val="22"/>
                <w:szCs w:val="22"/>
              </w:rPr>
            </w:pPr>
            <w:r>
              <w:rPr>
                <w:rFonts w:ascii="Georgia" w:hAnsi="Georgia" w:cs="Calibri"/>
                <w:sz w:val="20"/>
                <w:szCs w:val="20"/>
              </w:rPr>
              <w:t>80-83.99</w:t>
            </w:r>
          </w:p>
        </w:tc>
        <w:tc>
          <w:tcPr>
            <w:tcW w:w="1400" w:type="pct"/>
            <w:tcBorders>
              <w:top w:val="nil"/>
              <w:left w:val="nil"/>
              <w:bottom w:val="single" w:sz="8" w:space="0" w:color="000000"/>
              <w:right w:val="single" w:sz="8" w:space="0" w:color="000000"/>
            </w:tcBorders>
            <w:hideMark/>
          </w:tcPr>
          <w:p w14:paraId="02826B91" w14:textId="77777777" w:rsidR="00FA325F" w:rsidRDefault="00FA325F">
            <w:pPr>
              <w:pStyle w:val="tableparagraph"/>
              <w:spacing w:before="0" w:beforeAutospacing="0" w:after="0" w:afterAutospacing="0" w:line="176" w:lineRule="atLeast"/>
              <w:ind w:left="104"/>
              <w:rPr>
                <w:rFonts w:ascii="Georgia" w:hAnsi="Georgia" w:cs="Calibri"/>
                <w:sz w:val="22"/>
                <w:szCs w:val="22"/>
              </w:rPr>
            </w:pPr>
            <w:r>
              <w:rPr>
                <w:rFonts w:ascii="Georgia" w:hAnsi="Georgia" w:cs="Calibri"/>
                <w:sz w:val="20"/>
                <w:szCs w:val="20"/>
              </w:rPr>
              <w:t>B-</w:t>
            </w:r>
          </w:p>
        </w:tc>
      </w:tr>
      <w:tr w:rsidR="00FA325F" w14:paraId="40554C7B" w14:textId="77777777" w:rsidTr="00FA325F">
        <w:trPr>
          <w:trHeight w:val="20"/>
        </w:trPr>
        <w:tc>
          <w:tcPr>
            <w:tcW w:w="3550" w:type="pct"/>
            <w:tcBorders>
              <w:top w:val="nil"/>
              <w:left w:val="single" w:sz="8" w:space="0" w:color="000000"/>
              <w:bottom w:val="single" w:sz="8" w:space="0" w:color="000000"/>
              <w:right w:val="single" w:sz="8" w:space="0" w:color="000000"/>
            </w:tcBorders>
            <w:hideMark/>
          </w:tcPr>
          <w:p w14:paraId="2B028F30" w14:textId="77777777" w:rsidR="00FA325F" w:rsidRDefault="00FA325F">
            <w:pPr>
              <w:pStyle w:val="tableparagraph"/>
              <w:spacing w:before="0" w:beforeAutospacing="0" w:after="0" w:afterAutospacing="0" w:line="176" w:lineRule="atLeast"/>
              <w:ind w:left="904" w:right="900"/>
              <w:jc w:val="center"/>
              <w:rPr>
                <w:rFonts w:ascii="Georgia" w:hAnsi="Georgia" w:cs="Calibri"/>
                <w:sz w:val="22"/>
                <w:szCs w:val="22"/>
              </w:rPr>
            </w:pPr>
            <w:r>
              <w:rPr>
                <w:rFonts w:ascii="Georgia" w:hAnsi="Georgia" w:cs="Calibri"/>
                <w:sz w:val="20"/>
                <w:szCs w:val="20"/>
              </w:rPr>
              <w:t>77-79.99</w:t>
            </w:r>
          </w:p>
        </w:tc>
        <w:tc>
          <w:tcPr>
            <w:tcW w:w="1400" w:type="pct"/>
            <w:tcBorders>
              <w:top w:val="nil"/>
              <w:left w:val="nil"/>
              <w:bottom w:val="single" w:sz="8" w:space="0" w:color="000000"/>
              <w:right w:val="single" w:sz="8" w:space="0" w:color="000000"/>
            </w:tcBorders>
            <w:hideMark/>
          </w:tcPr>
          <w:p w14:paraId="1C3BE1E2" w14:textId="77777777" w:rsidR="00FA325F" w:rsidRDefault="00FA325F">
            <w:pPr>
              <w:pStyle w:val="tableparagraph"/>
              <w:spacing w:before="0" w:beforeAutospacing="0" w:after="0" w:afterAutospacing="0" w:line="176" w:lineRule="atLeast"/>
              <w:ind w:left="104"/>
              <w:rPr>
                <w:rFonts w:ascii="Georgia" w:hAnsi="Georgia" w:cs="Calibri"/>
                <w:sz w:val="22"/>
                <w:szCs w:val="22"/>
              </w:rPr>
            </w:pPr>
            <w:r>
              <w:rPr>
                <w:rFonts w:ascii="Georgia" w:hAnsi="Georgia" w:cs="Calibri"/>
                <w:sz w:val="20"/>
                <w:szCs w:val="20"/>
              </w:rPr>
              <w:t>C+</w:t>
            </w:r>
          </w:p>
        </w:tc>
      </w:tr>
      <w:tr w:rsidR="00FA325F" w14:paraId="14DE9ED1" w14:textId="77777777" w:rsidTr="00FA325F">
        <w:trPr>
          <w:trHeight w:val="20"/>
        </w:trPr>
        <w:tc>
          <w:tcPr>
            <w:tcW w:w="3550" w:type="pct"/>
            <w:tcBorders>
              <w:top w:val="nil"/>
              <w:left w:val="single" w:sz="8" w:space="0" w:color="000000"/>
              <w:bottom w:val="single" w:sz="8" w:space="0" w:color="000000"/>
              <w:right w:val="single" w:sz="8" w:space="0" w:color="000000"/>
            </w:tcBorders>
            <w:hideMark/>
          </w:tcPr>
          <w:p w14:paraId="2363D910" w14:textId="77777777" w:rsidR="00FA325F" w:rsidRDefault="00FA325F">
            <w:pPr>
              <w:pStyle w:val="tableparagraph"/>
              <w:spacing w:before="0" w:beforeAutospacing="0" w:after="0" w:afterAutospacing="0" w:line="176" w:lineRule="atLeast"/>
              <w:ind w:left="904" w:right="898"/>
              <w:jc w:val="center"/>
              <w:rPr>
                <w:rFonts w:ascii="Georgia" w:hAnsi="Georgia" w:cs="Calibri"/>
                <w:sz w:val="22"/>
                <w:szCs w:val="22"/>
              </w:rPr>
            </w:pPr>
            <w:r>
              <w:rPr>
                <w:rFonts w:ascii="Georgia" w:hAnsi="Georgia" w:cs="Calibri"/>
                <w:sz w:val="20"/>
                <w:szCs w:val="20"/>
              </w:rPr>
              <w:t>74-76.99</w:t>
            </w:r>
          </w:p>
        </w:tc>
        <w:tc>
          <w:tcPr>
            <w:tcW w:w="1400" w:type="pct"/>
            <w:tcBorders>
              <w:top w:val="nil"/>
              <w:left w:val="nil"/>
              <w:bottom w:val="single" w:sz="8" w:space="0" w:color="000000"/>
              <w:right w:val="single" w:sz="8" w:space="0" w:color="000000"/>
            </w:tcBorders>
            <w:hideMark/>
          </w:tcPr>
          <w:p w14:paraId="488AEE23" w14:textId="77777777" w:rsidR="00FA325F" w:rsidRDefault="00FA325F">
            <w:pPr>
              <w:pStyle w:val="tableparagraph"/>
              <w:spacing w:before="0" w:beforeAutospacing="0" w:after="0" w:afterAutospacing="0" w:line="176" w:lineRule="atLeast"/>
              <w:ind w:left="104"/>
              <w:rPr>
                <w:rFonts w:ascii="Georgia" w:hAnsi="Georgia" w:cs="Calibri"/>
                <w:sz w:val="22"/>
                <w:szCs w:val="22"/>
              </w:rPr>
            </w:pPr>
            <w:r>
              <w:rPr>
                <w:rFonts w:ascii="Georgia" w:hAnsi="Georgia" w:cs="Calibri"/>
                <w:sz w:val="20"/>
                <w:szCs w:val="20"/>
              </w:rPr>
              <w:t>C</w:t>
            </w:r>
          </w:p>
        </w:tc>
      </w:tr>
      <w:tr w:rsidR="00FA325F" w14:paraId="109EF061" w14:textId="77777777" w:rsidTr="00FA325F">
        <w:trPr>
          <w:trHeight w:val="20"/>
        </w:trPr>
        <w:tc>
          <w:tcPr>
            <w:tcW w:w="3550" w:type="pct"/>
            <w:tcBorders>
              <w:top w:val="nil"/>
              <w:left w:val="single" w:sz="8" w:space="0" w:color="000000"/>
              <w:bottom w:val="single" w:sz="8" w:space="0" w:color="000000"/>
              <w:right w:val="single" w:sz="8" w:space="0" w:color="000000"/>
            </w:tcBorders>
            <w:hideMark/>
          </w:tcPr>
          <w:p w14:paraId="3B7F7332" w14:textId="77777777" w:rsidR="00FA325F" w:rsidRDefault="00FA325F">
            <w:pPr>
              <w:pStyle w:val="tableparagraph"/>
              <w:spacing w:before="0" w:beforeAutospacing="0" w:after="0" w:afterAutospacing="0" w:line="176" w:lineRule="atLeast"/>
              <w:ind w:left="904" w:right="898"/>
              <w:jc w:val="center"/>
              <w:rPr>
                <w:rFonts w:ascii="Georgia" w:hAnsi="Georgia" w:cs="Calibri"/>
                <w:sz w:val="22"/>
                <w:szCs w:val="22"/>
              </w:rPr>
            </w:pPr>
            <w:r>
              <w:rPr>
                <w:rFonts w:ascii="Georgia" w:hAnsi="Georgia" w:cs="Calibri"/>
                <w:sz w:val="20"/>
                <w:szCs w:val="20"/>
              </w:rPr>
              <w:t>70-73.99</w:t>
            </w:r>
          </w:p>
        </w:tc>
        <w:tc>
          <w:tcPr>
            <w:tcW w:w="1400" w:type="pct"/>
            <w:tcBorders>
              <w:top w:val="nil"/>
              <w:left w:val="nil"/>
              <w:bottom w:val="single" w:sz="8" w:space="0" w:color="000000"/>
              <w:right w:val="single" w:sz="8" w:space="0" w:color="000000"/>
            </w:tcBorders>
            <w:hideMark/>
          </w:tcPr>
          <w:p w14:paraId="237312A4" w14:textId="77777777" w:rsidR="00FA325F" w:rsidRDefault="00FA325F">
            <w:pPr>
              <w:pStyle w:val="tableparagraph"/>
              <w:spacing w:before="0" w:beforeAutospacing="0" w:after="0" w:afterAutospacing="0" w:line="176" w:lineRule="atLeast"/>
              <w:ind w:left="104"/>
              <w:rPr>
                <w:rFonts w:ascii="Georgia" w:hAnsi="Georgia" w:cs="Calibri"/>
                <w:sz w:val="22"/>
                <w:szCs w:val="22"/>
              </w:rPr>
            </w:pPr>
            <w:r>
              <w:rPr>
                <w:rFonts w:ascii="Georgia" w:hAnsi="Georgia" w:cs="Calibri"/>
                <w:sz w:val="20"/>
                <w:szCs w:val="20"/>
              </w:rPr>
              <w:t>C-</w:t>
            </w:r>
          </w:p>
        </w:tc>
      </w:tr>
      <w:tr w:rsidR="00FA325F" w14:paraId="15BF35A2" w14:textId="77777777" w:rsidTr="00FA325F">
        <w:trPr>
          <w:trHeight w:val="20"/>
        </w:trPr>
        <w:tc>
          <w:tcPr>
            <w:tcW w:w="3550" w:type="pct"/>
            <w:tcBorders>
              <w:top w:val="nil"/>
              <w:left w:val="single" w:sz="8" w:space="0" w:color="000000"/>
              <w:bottom w:val="single" w:sz="8" w:space="0" w:color="000000"/>
              <w:right w:val="single" w:sz="8" w:space="0" w:color="000000"/>
            </w:tcBorders>
            <w:hideMark/>
          </w:tcPr>
          <w:p w14:paraId="3C7861B3" w14:textId="77777777" w:rsidR="00FA325F" w:rsidRDefault="00FA325F">
            <w:pPr>
              <w:pStyle w:val="tableparagraph"/>
              <w:spacing w:before="0" w:beforeAutospacing="0" w:after="0" w:afterAutospacing="0" w:line="176" w:lineRule="atLeast"/>
              <w:ind w:left="904" w:right="900"/>
              <w:jc w:val="center"/>
              <w:rPr>
                <w:rFonts w:ascii="Georgia" w:hAnsi="Georgia" w:cs="Calibri"/>
                <w:sz w:val="22"/>
                <w:szCs w:val="22"/>
              </w:rPr>
            </w:pPr>
            <w:r>
              <w:rPr>
                <w:rFonts w:ascii="Georgia" w:hAnsi="Georgia" w:cs="Calibri"/>
                <w:sz w:val="20"/>
                <w:szCs w:val="20"/>
              </w:rPr>
              <w:t>67-69.99</w:t>
            </w:r>
          </w:p>
        </w:tc>
        <w:tc>
          <w:tcPr>
            <w:tcW w:w="1400" w:type="pct"/>
            <w:tcBorders>
              <w:top w:val="nil"/>
              <w:left w:val="nil"/>
              <w:bottom w:val="single" w:sz="8" w:space="0" w:color="000000"/>
              <w:right w:val="single" w:sz="8" w:space="0" w:color="000000"/>
            </w:tcBorders>
            <w:hideMark/>
          </w:tcPr>
          <w:p w14:paraId="7148ED29" w14:textId="77777777" w:rsidR="00FA325F" w:rsidRDefault="00FA325F">
            <w:pPr>
              <w:pStyle w:val="tableparagraph"/>
              <w:spacing w:before="0" w:beforeAutospacing="0" w:after="0" w:afterAutospacing="0" w:line="176" w:lineRule="atLeast"/>
              <w:ind w:left="104"/>
              <w:rPr>
                <w:rFonts w:ascii="Georgia" w:hAnsi="Georgia" w:cs="Calibri"/>
                <w:sz w:val="22"/>
                <w:szCs w:val="22"/>
              </w:rPr>
            </w:pPr>
            <w:r>
              <w:rPr>
                <w:rFonts w:ascii="Georgia" w:hAnsi="Georgia" w:cs="Calibri"/>
                <w:sz w:val="20"/>
                <w:szCs w:val="20"/>
              </w:rPr>
              <w:t>D+</w:t>
            </w:r>
          </w:p>
        </w:tc>
      </w:tr>
      <w:tr w:rsidR="00FA325F" w14:paraId="6DE566F4" w14:textId="77777777" w:rsidTr="00FA325F">
        <w:trPr>
          <w:trHeight w:val="20"/>
        </w:trPr>
        <w:tc>
          <w:tcPr>
            <w:tcW w:w="3550" w:type="pct"/>
            <w:tcBorders>
              <w:top w:val="nil"/>
              <w:left w:val="single" w:sz="8" w:space="0" w:color="000000"/>
              <w:bottom w:val="single" w:sz="8" w:space="0" w:color="000000"/>
              <w:right w:val="single" w:sz="8" w:space="0" w:color="000000"/>
            </w:tcBorders>
            <w:hideMark/>
          </w:tcPr>
          <w:p w14:paraId="63794584" w14:textId="77777777" w:rsidR="00FA325F" w:rsidRDefault="00FA325F">
            <w:pPr>
              <w:pStyle w:val="tableparagraph"/>
              <w:spacing w:before="0" w:beforeAutospacing="0" w:after="0" w:afterAutospacing="0" w:line="176" w:lineRule="atLeast"/>
              <w:ind w:left="904" w:right="898"/>
              <w:jc w:val="center"/>
              <w:rPr>
                <w:rFonts w:ascii="Georgia" w:hAnsi="Georgia" w:cs="Calibri"/>
                <w:sz w:val="22"/>
                <w:szCs w:val="22"/>
              </w:rPr>
            </w:pPr>
            <w:r>
              <w:rPr>
                <w:rFonts w:ascii="Georgia" w:hAnsi="Georgia" w:cs="Calibri"/>
                <w:sz w:val="20"/>
                <w:szCs w:val="20"/>
              </w:rPr>
              <w:t>64-66.99</w:t>
            </w:r>
          </w:p>
        </w:tc>
        <w:tc>
          <w:tcPr>
            <w:tcW w:w="1400" w:type="pct"/>
            <w:tcBorders>
              <w:top w:val="nil"/>
              <w:left w:val="nil"/>
              <w:bottom w:val="single" w:sz="8" w:space="0" w:color="000000"/>
              <w:right w:val="single" w:sz="8" w:space="0" w:color="000000"/>
            </w:tcBorders>
            <w:hideMark/>
          </w:tcPr>
          <w:p w14:paraId="3E6CC599" w14:textId="77777777" w:rsidR="00FA325F" w:rsidRDefault="00FA325F">
            <w:pPr>
              <w:pStyle w:val="tableparagraph"/>
              <w:spacing w:before="0" w:beforeAutospacing="0" w:after="0" w:afterAutospacing="0" w:line="176" w:lineRule="atLeast"/>
              <w:ind w:left="104"/>
              <w:rPr>
                <w:rFonts w:ascii="Georgia" w:hAnsi="Georgia" w:cs="Calibri"/>
                <w:sz w:val="22"/>
                <w:szCs w:val="22"/>
              </w:rPr>
            </w:pPr>
            <w:r>
              <w:rPr>
                <w:rFonts w:ascii="Georgia" w:hAnsi="Georgia" w:cs="Calibri"/>
                <w:sz w:val="20"/>
                <w:szCs w:val="20"/>
              </w:rPr>
              <w:t>D</w:t>
            </w:r>
          </w:p>
        </w:tc>
      </w:tr>
      <w:tr w:rsidR="00FA325F" w14:paraId="19951D0D" w14:textId="77777777" w:rsidTr="00FA325F">
        <w:trPr>
          <w:trHeight w:val="20"/>
        </w:trPr>
        <w:tc>
          <w:tcPr>
            <w:tcW w:w="3550" w:type="pct"/>
            <w:tcBorders>
              <w:top w:val="nil"/>
              <w:left w:val="single" w:sz="8" w:space="0" w:color="000000"/>
              <w:bottom w:val="single" w:sz="8" w:space="0" w:color="000000"/>
              <w:right w:val="single" w:sz="8" w:space="0" w:color="000000"/>
            </w:tcBorders>
            <w:hideMark/>
          </w:tcPr>
          <w:p w14:paraId="14AB9FD2" w14:textId="77777777" w:rsidR="00FA325F" w:rsidRDefault="00FA325F">
            <w:pPr>
              <w:pStyle w:val="tableparagraph"/>
              <w:spacing w:before="0" w:beforeAutospacing="0" w:after="0" w:afterAutospacing="0" w:line="176" w:lineRule="atLeast"/>
              <w:ind w:left="904" w:right="898"/>
              <w:jc w:val="center"/>
              <w:rPr>
                <w:rFonts w:ascii="Georgia" w:hAnsi="Georgia" w:cs="Calibri"/>
                <w:sz w:val="22"/>
                <w:szCs w:val="22"/>
              </w:rPr>
            </w:pPr>
            <w:r>
              <w:rPr>
                <w:rFonts w:ascii="Georgia" w:hAnsi="Georgia" w:cs="Calibri"/>
                <w:sz w:val="20"/>
                <w:szCs w:val="20"/>
              </w:rPr>
              <w:t>60-63.99</w:t>
            </w:r>
          </w:p>
        </w:tc>
        <w:tc>
          <w:tcPr>
            <w:tcW w:w="1400" w:type="pct"/>
            <w:tcBorders>
              <w:top w:val="nil"/>
              <w:left w:val="nil"/>
              <w:bottom w:val="single" w:sz="8" w:space="0" w:color="000000"/>
              <w:right w:val="single" w:sz="8" w:space="0" w:color="000000"/>
            </w:tcBorders>
            <w:hideMark/>
          </w:tcPr>
          <w:p w14:paraId="171EF476" w14:textId="77777777" w:rsidR="00FA325F" w:rsidRDefault="00FA325F">
            <w:pPr>
              <w:pStyle w:val="tableparagraph"/>
              <w:spacing w:before="0" w:beforeAutospacing="0" w:after="0" w:afterAutospacing="0" w:line="176" w:lineRule="atLeast"/>
              <w:ind w:left="104"/>
              <w:rPr>
                <w:rFonts w:ascii="Georgia" w:hAnsi="Georgia" w:cs="Calibri"/>
                <w:sz w:val="22"/>
                <w:szCs w:val="22"/>
              </w:rPr>
            </w:pPr>
            <w:r>
              <w:rPr>
                <w:rFonts w:ascii="Georgia" w:hAnsi="Georgia" w:cs="Calibri"/>
                <w:sz w:val="20"/>
                <w:szCs w:val="20"/>
              </w:rPr>
              <w:t>D-</w:t>
            </w:r>
          </w:p>
        </w:tc>
      </w:tr>
      <w:tr w:rsidR="00FA325F" w14:paraId="04E608C3" w14:textId="77777777" w:rsidTr="00FA325F">
        <w:trPr>
          <w:trHeight w:val="20"/>
        </w:trPr>
        <w:tc>
          <w:tcPr>
            <w:tcW w:w="3550" w:type="pct"/>
            <w:tcBorders>
              <w:top w:val="nil"/>
              <w:left w:val="single" w:sz="8" w:space="0" w:color="000000"/>
              <w:bottom w:val="single" w:sz="8" w:space="0" w:color="000000"/>
              <w:right w:val="single" w:sz="8" w:space="0" w:color="000000"/>
            </w:tcBorders>
            <w:hideMark/>
          </w:tcPr>
          <w:p w14:paraId="08882875" w14:textId="77777777" w:rsidR="00FA325F" w:rsidRDefault="00FA325F">
            <w:pPr>
              <w:pStyle w:val="tableparagraph"/>
              <w:spacing w:before="0" w:beforeAutospacing="0" w:after="0" w:afterAutospacing="0" w:line="176" w:lineRule="atLeast"/>
              <w:ind w:left="904" w:right="900"/>
              <w:jc w:val="center"/>
              <w:rPr>
                <w:rFonts w:ascii="Georgia" w:hAnsi="Georgia" w:cs="Calibri"/>
                <w:sz w:val="22"/>
                <w:szCs w:val="22"/>
              </w:rPr>
            </w:pPr>
            <w:r>
              <w:rPr>
                <w:rFonts w:ascii="Georgia" w:hAnsi="Georgia" w:cs="Calibri"/>
                <w:sz w:val="20"/>
                <w:szCs w:val="20"/>
              </w:rPr>
              <w:t>00-59.99</w:t>
            </w:r>
          </w:p>
        </w:tc>
        <w:tc>
          <w:tcPr>
            <w:tcW w:w="1400" w:type="pct"/>
            <w:tcBorders>
              <w:top w:val="nil"/>
              <w:left w:val="nil"/>
              <w:bottom w:val="single" w:sz="8" w:space="0" w:color="000000"/>
              <w:right w:val="single" w:sz="8" w:space="0" w:color="000000"/>
            </w:tcBorders>
            <w:hideMark/>
          </w:tcPr>
          <w:p w14:paraId="6A84D4D6" w14:textId="77777777" w:rsidR="00FA325F" w:rsidRDefault="00FA325F">
            <w:pPr>
              <w:pStyle w:val="tableparagraph"/>
              <w:spacing w:before="0" w:beforeAutospacing="0" w:after="0" w:afterAutospacing="0" w:line="176" w:lineRule="atLeast"/>
              <w:ind w:left="104"/>
              <w:rPr>
                <w:rFonts w:ascii="Georgia" w:hAnsi="Georgia" w:cs="Calibri"/>
                <w:sz w:val="22"/>
                <w:szCs w:val="22"/>
              </w:rPr>
            </w:pPr>
            <w:r>
              <w:rPr>
                <w:rFonts w:ascii="Georgia" w:hAnsi="Georgia" w:cs="Calibri"/>
                <w:sz w:val="20"/>
                <w:szCs w:val="20"/>
              </w:rPr>
              <w:t>F</w:t>
            </w:r>
          </w:p>
        </w:tc>
      </w:tr>
    </w:tbl>
    <w:p w14:paraId="07EACD5A" w14:textId="20BBEFD8" w:rsidR="00FA325F" w:rsidRDefault="00FA325F" w:rsidP="00FA325F">
      <w:pPr>
        <w:rPr>
          <w:color w:val="000000"/>
          <w:sz w:val="27"/>
          <w:szCs w:val="27"/>
        </w:rPr>
      </w:pPr>
    </w:p>
    <w:p w14:paraId="0A6CF27A" w14:textId="4A663E0E" w:rsidR="0092295D" w:rsidRPr="00D66641" w:rsidRDefault="0092295D" w:rsidP="00D66641">
      <w:pPr>
        <w:rPr>
          <w:color w:val="000000"/>
          <w:sz w:val="27"/>
          <w:szCs w:val="27"/>
        </w:rPr>
      </w:pPr>
    </w:p>
    <w:p w14:paraId="40F1FB9A" w14:textId="56BB91FF" w:rsidR="00D0721A" w:rsidRPr="0092295D" w:rsidRDefault="009F09C0" w:rsidP="00A6623A">
      <w:pPr>
        <w:pStyle w:val="descriptions"/>
        <w:numPr>
          <w:ilvl w:val="0"/>
          <w:numId w:val="0"/>
        </w:numPr>
        <w:rPr>
          <w:i w:val="0"/>
          <w:iCs w:val="0"/>
          <w:color w:val="auto"/>
        </w:rPr>
      </w:pPr>
      <w:r>
        <w:rPr>
          <w:i w:val="0"/>
          <w:iCs w:val="0"/>
          <w:color w:val="auto"/>
        </w:rPr>
        <w:t>A</w:t>
      </w:r>
      <w:r w:rsidR="00D0721A" w:rsidRPr="0092295D">
        <w:rPr>
          <w:i w:val="0"/>
          <w:iCs w:val="0"/>
          <w:color w:val="auto"/>
        </w:rPr>
        <w:t xml:space="preserve">ttendance and participation </w:t>
      </w:r>
      <w:r>
        <w:rPr>
          <w:i w:val="0"/>
          <w:iCs w:val="0"/>
          <w:color w:val="auto"/>
        </w:rPr>
        <w:t xml:space="preserve">in class are an important part of the success of our course and will be considered </w:t>
      </w:r>
      <w:r w:rsidR="00D0721A" w:rsidRPr="0092295D">
        <w:rPr>
          <w:i w:val="0"/>
          <w:iCs w:val="0"/>
          <w:color w:val="auto"/>
        </w:rPr>
        <w:t xml:space="preserve">part of the </w:t>
      </w:r>
      <w:r w:rsidR="001D7665" w:rsidRPr="0092295D">
        <w:rPr>
          <w:i w:val="0"/>
          <w:iCs w:val="0"/>
          <w:color w:val="auto"/>
        </w:rPr>
        <w:t>course</w:t>
      </w:r>
      <w:r w:rsidR="00D0721A" w:rsidRPr="0092295D">
        <w:rPr>
          <w:i w:val="0"/>
          <w:iCs w:val="0"/>
          <w:color w:val="auto"/>
        </w:rPr>
        <w:t xml:space="preserve"> grad</w:t>
      </w:r>
      <w:r w:rsidR="007A073D">
        <w:rPr>
          <w:i w:val="0"/>
          <w:iCs w:val="0"/>
          <w:color w:val="auto"/>
        </w:rPr>
        <w:t>e</w:t>
      </w:r>
      <w:r w:rsidR="00D0721A" w:rsidRPr="0092295D">
        <w:rPr>
          <w:i w:val="0"/>
          <w:iCs w:val="0"/>
          <w:color w:val="auto"/>
        </w:rPr>
        <w:t xml:space="preserve"> </w:t>
      </w:r>
      <w:r w:rsidR="00A6623A">
        <w:rPr>
          <w:i w:val="0"/>
          <w:iCs w:val="0"/>
          <w:color w:val="auto"/>
        </w:rPr>
        <w:t xml:space="preserve">at the instructors’ discretion. Please understand the hybrid nature of the course means that we will make video recordings of our class sessions available on Canvas, </w:t>
      </w:r>
      <w:r w:rsidR="00D0721A" w:rsidRPr="0092295D">
        <w:rPr>
          <w:i w:val="0"/>
          <w:iCs w:val="0"/>
          <w:color w:val="auto"/>
        </w:rPr>
        <w:t>watching video recordings are not a replacement for attendance.</w:t>
      </w:r>
    </w:p>
    <w:p w14:paraId="75E95F87" w14:textId="6E82E5FF" w:rsidR="00170F9F" w:rsidRPr="00852AD5" w:rsidRDefault="00D0721A" w:rsidP="00E27E36">
      <w:pPr>
        <w:pStyle w:val="Heading2"/>
      </w:pPr>
      <w:r>
        <w:t>Excused Absences</w:t>
      </w:r>
    </w:p>
    <w:p w14:paraId="6CA66A79" w14:textId="74A6AE4E" w:rsidR="00E27E36" w:rsidRPr="004B2092" w:rsidRDefault="00E27E36" w:rsidP="004B2092">
      <w:r w:rsidRPr="004B2092">
        <w:t xml:space="preserve">Attendance is mandatory for all MSISP classes. Students must attend classes in-person or remotely via Zoom.  While class lectures are recorded in support of students' studies, review of class recordings does not constitute attendance.  Only extraordinary, documented requests submitted at least 72 hours in advance of class time will be considered for absences.  There must be </w:t>
      </w:r>
      <w:r w:rsidR="00D0721A" w:rsidRPr="004B2092">
        <w:t xml:space="preserve">a </w:t>
      </w:r>
      <w:r w:rsidRPr="004B2092">
        <w:t>compelling reason for any requests not submitted 72 hours in advance of class start.   Acceptance of excused absences will be considered by the faculty instructor in consultation with the MSISP Program Director.</w:t>
      </w:r>
    </w:p>
    <w:p w14:paraId="4E777AB4" w14:textId="0EC13693" w:rsidR="00D20E7D" w:rsidRDefault="00D20E7D">
      <w:r>
        <w:br w:type="page"/>
      </w:r>
    </w:p>
    <w:p w14:paraId="25575270" w14:textId="77777777" w:rsidR="00D66641" w:rsidRPr="00D66641" w:rsidRDefault="00D66641" w:rsidP="00D66641"/>
    <w:p w14:paraId="14493661" w14:textId="42BCDE76" w:rsidR="004025DB" w:rsidRDefault="004025DB" w:rsidP="00170F9F">
      <w:pPr>
        <w:pStyle w:val="Heading1"/>
      </w:pPr>
      <w:r w:rsidRPr="00852AD5">
        <w:t>Schedule</w:t>
      </w:r>
    </w:p>
    <w:p w14:paraId="31EDDC77" w14:textId="11B408A8" w:rsidR="00050848" w:rsidRPr="00050848" w:rsidRDefault="00050848" w:rsidP="00050848">
      <w:pPr>
        <w:rPr>
          <w:bCs/>
        </w:rPr>
      </w:pPr>
    </w:p>
    <w:tbl>
      <w:tblPr>
        <w:tblW w:w="11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0"/>
        <w:gridCol w:w="5019"/>
        <w:gridCol w:w="4250"/>
      </w:tblGrid>
      <w:tr w:rsidR="00050848" w:rsidRPr="00050848" w14:paraId="60F03343" w14:textId="77777777" w:rsidTr="009535C4">
        <w:trPr>
          <w:trHeight w:val="734"/>
        </w:trPr>
        <w:tc>
          <w:tcPr>
            <w:tcW w:w="1830" w:type="dxa"/>
            <w:tcBorders>
              <w:top w:val="single" w:sz="4" w:space="0" w:color="auto"/>
              <w:left w:val="single" w:sz="4" w:space="0" w:color="auto"/>
              <w:bottom w:val="single" w:sz="4" w:space="0" w:color="auto"/>
              <w:right w:val="single" w:sz="4" w:space="0" w:color="auto"/>
            </w:tcBorders>
          </w:tcPr>
          <w:p w14:paraId="0D2F7DA0" w14:textId="77777777" w:rsidR="00050848" w:rsidRPr="00050848" w:rsidRDefault="00050848" w:rsidP="00050848">
            <w:pPr>
              <w:rPr>
                <w:bCs/>
              </w:rPr>
            </w:pPr>
            <w:r w:rsidRPr="00050848">
              <w:rPr>
                <w:bCs/>
              </w:rPr>
              <w:t>Session #</w:t>
            </w:r>
          </w:p>
        </w:tc>
        <w:tc>
          <w:tcPr>
            <w:tcW w:w="5019" w:type="dxa"/>
            <w:tcBorders>
              <w:top w:val="single" w:sz="4" w:space="0" w:color="auto"/>
              <w:left w:val="single" w:sz="4" w:space="0" w:color="auto"/>
              <w:bottom w:val="single" w:sz="4" w:space="0" w:color="auto"/>
              <w:right w:val="single" w:sz="4" w:space="0" w:color="auto"/>
            </w:tcBorders>
          </w:tcPr>
          <w:p w14:paraId="71F32609" w14:textId="77777777" w:rsidR="00050848" w:rsidRPr="00050848" w:rsidRDefault="00050848" w:rsidP="00050848">
            <w:pPr>
              <w:rPr>
                <w:bCs/>
              </w:rPr>
            </w:pPr>
            <w:r w:rsidRPr="00050848">
              <w:rPr>
                <w:bCs/>
              </w:rPr>
              <w:t>Main Topic(s)</w:t>
            </w:r>
          </w:p>
        </w:tc>
        <w:tc>
          <w:tcPr>
            <w:tcW w:w="4250" w:type="dxa"/>
            <w:tcBorders>
              <w:top w:val="single" w:sz="4" w:space="0" w:color="auto"/>
              <w:left w:val="single" w:sz="4" w:space="0" w:color="auto"/>
              <w:bottom w:val="single" w:sz="4" w:space="0" w:color="auto"/>
              <w:right w:val="single" w:sz="4" w:space="0" w:color="auto"/>
            </w:tcBorders>
          </w:tcPr>
          <w:p w14:paraId="180708FB" w14:textId="77777777" w:rsidR="00050848" w:rsidRPr="00050848" w:rsidRDefault="00050848" w:rsidP="00050848">
            <w:pPr>
              <w:rPr>
                <w:bCs/>
              </w:rPr>
            </w:pPr>
            <w:r w:rsidRPr="00050848">
              <w:rPr>
                <w:bCs/>
              </w:rPr>
              <w:t>Instructor or Guest Lecturer</w:t>
            </w:r>
          </w:p>
        </w:tc>
      </w:tr>
      <w:tr w:rsidR="00050848" w:rsidRPr="00050848" w14:paraId="27A0B898" w14:textId="77777777" w:rsidTr="009535C4">
        <w:trPr>
          <w:trHeight w:val="1322"/>
        </w:trPr>
        <w:tc>
          <w:tcPr>
            <w:tcW w:w="1830" w:type="dxa"/>
            <w:tcBorders>
              <w:top w:val="single" w:sz="4" w:space="0" w:color="auto"/>
              <w:left w:val="single" w:sz="4" w:space="0" w:color="auto"/>
              <w:bottom w:val="single" w:sz="4" w:space="0" w:color="auto"/>
              <w:right w:val="single" w:sz="4" w:space="0" w:color="auto"/>
            </w:tcBorders>
          </w:tcPr>
          <w:p w14:paraId="79EB8660" w14:textId="4200818D" w:rsidR="00050848" w:rsidRPr="00050848" w:rsidRDefault="00050848" w:rsidP="00050848">
            <w:r w:rsidRPr="00050848">
              <w:t>1 (August 2</w:t>
            </w:r>
            <w:r>
              <w:t>6</w:t>
            </w:r>
            <w:r w:rsidRPr="00050848">
              <w:t>)</w:t>
            </w:r>
          </w:p>
          <w:p w14:paraId="5B8F0670" w14:textId="77777777" w:rsidR="00050848" w:rsidRPr="00050848" w:rsidRDefault="00050848" w:rsidP="00050848"/>
        </w:tc>
        <w:tc>
          <w:tcPr>
            <w:tcW w:w="5019" w:type="dxa"/>
            <w:tcBorders>
              <w:top w:val="single" w:sz="4" w:space="0" w:color="auto"/>
              <w:left w:val="single" w:sz="4" w:space="0" w:color="auto"/>
              <w:bottom w:val="single" w:sz="4" w:space="0" w:color="auto"/>
              <w:right w:val="single" w:sz="4" w:space="0" w:color="auto"/>
            </w:tcBorders>
          </w:tcPr>
          <w:p w14:paraId="18F6D061" w14:textId="77777777" w:rsidR="00050848" w:rsidRPr="00050848" w:rsidRDefault="00050848" w:rsidP="00050848">
            <w:pPr>
              <w:rPr>
                <w:b/>
              </w:rPr>
            </w:pPr>
            <w:r w:rsidRPr="00050848">
              <w:rPr>
                <w:b/>
              </w:rPr>
              <w:t>Making the “business value” case for identity, privacy, and cybersecurity related investments:</w:t>
            </w:r>
          </w:p>
          <w:p w14:paraId="4FA4DCF9" w14:textId="77777777" w:rsidR="00050848" w:rsidRPr="00050848" w:rsidRDefault="00050848" w:rsidP="00050848">
            <w:pPr>
              <w:rPr>
                <w:b/>
              </w:rPr>
            </w:pPr>
          </w:p>
          <w:p w14:paraId="02BE1E18" w14:textId="77777777" w:rsidR="00050848" w:rsidRPr="00050848" w:rsidRDefault="00050848" w:rsidP="00050848">
            <w:pPr>
              <w:numPr>
                <w:ilvl w:val="0"/>
                <w:numId w:val="14"/>
              </w:numPr>
            </w:pPr>
            <w:r w:rsidRPr="00050848">
              <w:rPr>
                <w:b/>
              </w:rPr>
              <w:t>(Canvas)</w:t>
            </w:r>
            <w:r w:rsidRPr="00050848">
              <w:t>. CyberArk Software. (2019). “The risk initiative: Cyber metrics for better decisions.”</w:t>
            </w:r>
          </w:p>
          <w:p w14:paraId="529525D5" w14:textId="77777777" w:rsidR="00050848" w:rsidRPr="00050848" w:rsidRDefault="00050848" w:rsidP="00050848">
            <w:pPr>
              <w:numPr>
                <w:ilvl w:val="0"/>
                <w:numId w:val="14"/>
              </w:numPr>
            </w:pPr>
            <w:r w:rsidRPr="00050848">
              <w:rPr>
                <w:b/>
                <w:lang w:val="sv-SE"/>
              </w:rPr>
              <w:t>(Canvas)</w:t>
            </w:r>
            <w:r w:rsidRPr="00050848">
              <w:rPr>
                <w:lang w:val="sv-SE"/>
              </w:rPr>
              <w:t xml:space="preserve">. Damodaran, A. (2020). Net Present Value (NPV) Analysis. </w:t>
            </w:r>
            <w:r w:rsidRPr="00050848">
              <w:t>“A Primer on the Time Value of Money.”</w:t>
            </w:r>
          </w:p>
          <w:p w14:paraId="3ED92F2D" w14:textId="77777777" w:rsidR="00050848" w:rsidRPr="00050848" w:rsidRDefault="00050848" w:rsidP="00050848">
            <w:pPr>
              <w:numPr>
                <w:ilvl w:val="0"/>
                <w:numId w:val="14"/>
              </w:numPr>
            </w:pPr>
            <w:r w:rsidRPr="00050848">
              <w:rPr>
                <w:b/>
              </w:rPr>
              <w:t>(Canvas)</w:t>
            </w:r>
            <w:r w:rsidRPr="00050848">
              <w:t>. “Total cost of ownership (</w:t>
            </w:r>
            <w:r w:rsidRPr="00050848">
              <w:rPr>
                <w:bCs/>
              </w:rPr>
              <w:t>TCO) versus Return on investment (ROI): Which is Best for Making Investment Decisions?”</w:t>
            </w:r>
          </w:p>
          <w:p w14:paraId="2CF3B72D" w14:textId="77777777" w:rsidR="00050848" w:rsidRPr="00050848" w:rsidRDefault="00050848" w:rsidP="00050848"/>
          <w:p w14:paraId="1CC70D6B" w14:textId="65A5BFDC" w:rsidR="00050848" w:rsidRPr="00050848" w:rsidRDefault="00050848" w:rsidP="00050848">
            <w:pPr>
              <w:numPr>
                <w:ilvl w:val="0"/>
                <w:numId w:val="14"/>
              </w:numPr>
            </w:pPr>
            <w:r w:rsidRPr="00050848">
              <w:rPr>
                <w:b/>
              </w:rPr>
              <w:t>Assignment preview</w:t>
            </w:r>
            <w:r w:rsidRPr="00050848">
              <w:t xml:space="preserve">: This session will preview the </w:t>
            </w:r>
            <w:r w:rsidRPr="00050848">
              <w:rPr>
                <w:i/>
              </w:rPr>
              <w:t>HappyPay Case Assignment</w:t>
            </w:r>
            <w:r w:rsidRPr="00050848">
              <w:t xml:space="preserve"> which will be due in session 3. Please read the PDF file and the Excel workbook for HappyPay case and raise any questions about them in this session</w:t>
            </w:r>
            <w:r w:rsidR="00930B62">
              <w:t>.</w:t>
            </w:r>
          </w:p>
          <w:p w14:paraId="1B5A9412" w14:textId="77777777" w:rsidR="00050848" w:rsidRPr="00050848" w:rsidRDefault="00050848" w:rsidP="00050848"/>
        </w:tc>
        <w:tc>
          <w:tcPr>
            <w:tcW w:w="4250" w:type="dxa"/>
            <w:tcBorders>
              <w:top w:val="single" w:sz="4" w:space="0" w:color="auto"/>
              <w:left w:val="single" w:sz="4" w:space="0" w:color="auto"/>
              <w:bottom w:val="single" w:sz="4" w:space="0" w:color="auto"/>
              <w:right w:val="single" w:sz="4" w:space="0" w:color="auto"/>
            </w:tcBorders>
          </w:tcPr>
          <w:p w14:paraId="7CEF33FA" w14:textId="77777777" w:rsidR="00050848" w:rsidRPr="00050848" w:rsidRDefault="00050848" w:rsidP="00050848">
            <w:r w:rsidRPr="00050848">
              <w:t>Hüseyin Tanriverdi</w:t>
            </w:r>
          </w:p>
          <w:p w14:paraId="7FA9FBEC" w14:textId="77777777" w:rsidR="00050848" w:rsidRPr="00050848" w:rsidRDefault="00050848" w:rsidP="00050848"/>
          <w:p w14:paraId="3732818C" w14:textId="77777777" w:rsidR="00050848" w:rsidRPr="00050848" w:rsidRDefault="00050848" w:rsidP="00050848"/>
        </w:tc>
      </w:tr>
      <w:tr w:rsidR="00050848" w:rsidRPr="00050848" w14:paraId="34E49CFB" w14:textId="77777777" w:rsidTr="009535C4">
        <w:trPr>
          <w:trHeight w:val="367"/>
        </w:trPr>
        <w:tc>
          <w:tcPr>
            <w:tcW w:w="1830" w:type="dxa"/>
            <w:tcBorders>
              <w:top w:val="single" w:sz="4" w:space="0" w:color="auto"/>
              <w:left w:val="single" w:sz="4" w:space="0" w:color="auto"/>
              <w:bottom w:val="single" w:sz="4" w:space="0" w:color="auto"/>
              <w:right w:val="single" w:sz="4" w:space="0" w:color="auto"/>
            </w:tcBorders>
          </w:tcPr>
          <w:p w14:paraId="5BD665CD" w14:textId="70CA80D0" w:rsidR="00050848" w:rsidRPr="00050848" w:rsidRDefault="00050848" w:rsidP="00050848">
            <w:r w:rsidRPr="00050848">
              <w:t>2 (August 2</w:t>
            </w:r>
            <w:r>
              <w:t>7</w:t>
            </w:r>
            <w:r w:rsidRPr="00050848">
              <w:t>)</w:t>
            </w:r>
          </w:p>
        </w:tc>
        <w:tc>
          <w:tcPr>
            <w:tcW w:w="5019" w:type="dxa"/>
            <w:tcBorders>
              <w:top w:val="single" w:sz="4" w:space="0" w:color="auto"/>
              <w:left w:val="single" w:sz="4" w:space="0" w:color="auto"/>
              <w:bottom w:val="single" w:sz="4" w:space="0" w:color="auto"/>
              <w:right w:val="single" w:sz="4" w:space="0" w:color="auto"/>
            </w:tcBorders>
          </w:tcPr>
          <w:p w14:paraId="4B0C475C" w14:textId="77777777" w:rsidR="00050848" w:rsidRPr="00050848" w:rsidRDefault="00050848" w:rsidP="00050848">
            <w:pPr>
              <w:rPr>
                <w:b/>
              </w:rPr>
            </w:pPr>
            <w:r w:rsidRPr="00050848">
              <w:rPr>
                <w:b/>
              </w:rPr>
              <w:t>Making the “public value” case for identity, privacy, and security related investments</w:t>
            </w:r>
          </w:p>
          <w:p w14:paraId="311A5EC1" w14:textId="77777777" w:rsidR="00050848" w:rsidRPr="00050848" w:rsidRDefault="00050848" w:rsidP="00050848"/>
          <w:p w14:paraId="5BB1CCC8" w14:textId="77777777" w:rsidR="00050848" w:rsidRPr="00050848" w:rsidRDefault="00050848" w:rsidP="00050848">
            <w:pPr>
              <w:numPr>
                <w:ilvl w:val="0"/>
                <w:numId w:val="16"/>
              </w:numPr>
            </w:pPr>
            <w:r w:rsidRPr="00050848">
              <w:rPr>
                <w:b/>
              </w:rPr>
              <w:t>(Canvas).</w:t>
            </w:r>
            <w:r w:rsidRPr="00050848">
              <w:t xml:space="preserve"> Moore, M.H., and Khagram, S. (2004). “On creating public value: what business might learn from government about strategic management,” Corporate Social Responsibility Initiative Working Paper #3, Cambridge, MA: John F. Kennedy School of Government, Harvard University.</w:t>
            </w:r>
          </w:p>
          <w:p w14:paraId="4F09F71D" w14:textId="77777777" w:rsidR="00050848" w:rsidRPr="00050848" w:rsidRDefault="00050848" w:rsidP="00050848">
            <w:pPr>
              <w:numPr>
                <w:ilvl w:val="0"/>
                <w:numId w:val="16"/>
              </w:numPr>
            </w:pPr>
            <w:r w:rsidRPr="00050848">
              <w:rPr>
                <w:b/>
              </w:rPr>
              <w:t>(Canvas)</w:t>
            </w:r>
            <w:r w:rsidRPr="00050848">
              <w:t>. ISACA. (2010). "The Business case guide: using Val IT™ 2.0." (ISBN 978-1-60420-105-5)</w:t>
            </w:r>
          </w:p>
          <w:p w14:paraId="4C59E0F0" w14:textId="77777777" w:rsidR="00050848" w:rsidRPr="00050848" w:rsidRDefault="00050848" w:rsidP="00050848">
            <w:pPr>
              <w:numPr>
                <w:ilvl w:val="0"/>
                <w:numId w:val="16"/>
              </w:numPr>
            </w:pPr>
            <w:r w:rsidRPr="00050848">
              <w:rPr>
                <w:b/>
              </w:rPr>
              <w:lastRenderedPageBreak/>
              <w:t>(Canvas)</w:t>
            </w:r>
            <w:r w:rsidRPr="00050848">
              <w:t>. ISACA (2007). “Val IT Case Study: Value Governance—Police Case Study”</w:t>
            </w:r>
          </w:p>
          <w:p w14:paraId="2F172304" w14:textId="77777777" w:rsidR="00050848" w:rsidRPr="00050848" w:rsidRDefault="00050848" w:rsidP="00050848"/>
          <w:p w14:paraId="25A72367" w14:textId="77777777" w:rsidR="00050848" w:rsidRPr="00050848" w:rsidRDefault="00050848" w:rsidP="00050848">
            <w:pPr>
              <w:numPr>
                <w:ilvl w:val="0"/>
                <w:numId w:val="14"/>
              </w:numPr>
            </w:pPr>
            <w:r w:rsidRPr="00050848">
              <w:rPr>
                <w:b/>
              </w:rPr>
              <w:t xml:space="preserve">Assignment preview: </w:t>
            </w:r>
            <w:r w:rsidRPr="00050848">
              <w:t xml:space="preserve">This session will preview the </w:t>
            </w:r>
            <w:r w:rsidRPr="00050848">
              <w:rPr>
                <w:i/>
              </w:rPr>
              <w:t>ShotSpotter Case Assignment</w:t>
            </w:r>
            <w:r w:rsidRPr="00050848">
              <w:t xml:space="preserve"> which will be due in session 4. Please read the details of this assignment and raise any questions in this session. </w:t>
            </w:r>
          </w:p>
          <w:p w14:paraId="1805DCD2" w14:textId="77777777" w:rsidR="00050848" w:rsidRPr="00050848" w:rsidRDefault="00050848" w:rsidP="00050848"/>
        </w:tc>
        <w:tc>
          <w:tcPr>
            <w:tcW w:w="4250" w:type="dxa"/>
            <w:tcBorders>
              <w:top w:val="single" w:sz="4" w:space="0" w:color="auto"/>
              <w:left w:val="single" w:sz="4" w:space="0" w:color="auto"/>
              <w:bottom w:val="single" w:sz="4" w:space="0" w:color="auto"/>
              <w:right w:val="single" w:sz="4" w:space="0" w:color="auto"/>
            </w:tcBorders>
          </w:tcPr>
          <w:p w14:paraId="33F512D2" w14:textId="77777777" w:rsidR="00050848" w:rsidRPr="00050848" w:rsidRDefault="00050848" w:rsidP="00050848">
            <w:r w:rsidRPr="00050848">
              <w:lastRenderedPageBreak/>
              <w:t>Hüseyin Tanriverdi</w:t>
            </w:r>
          </w:p>
          <w:p w14:paraId="5BDFD469" w14:textId="77777777" w:rsidR="00050848" w:rsidRPr="00050848" w:rsidRDefault="00050848" w:rsidP="00050848"/>
        </w:tc>
      </w:tr>
      <w:tr w:rsidR="00050848" w:rsidRPr="00050848" w14:paraId="39CBB700" w14:textId="77777777" w:rsidTr="009535C4">
        <w:trPr>
          <w:trHeight w:val="367"/>
        </w:trPr>
        <w:tc>
          <w:tcPr>
            <w:tcW w:w="1830" w:type="dxa"/>
            <w:tcBorders>
              <w:top w:val="single" w:sz="4" w:space="0" w:color="auto"/>
              <w:left w:val="single" w:sz="4" w:space="0" w:color="auto"/>
              <w:bottom w:val="single" w:sz="4" w:space="0" w:color="auto"/>
              <w:right w:val="single" w:sz="4" w:space="0" w:color="auto"/>
            </w:tcBorders>
          </w:tcPr>
          <w:p w14:paraId="4167250C" w14:textId="1B270CF1" w:rsidR="00050848" w:rsidRPr="00050848" w:rsidRDefault="00050848" w:rsidP="00050848">
            <w:r w:rsidRPr="00050848">
              <w:t>3 (September 2</w:t>
            </w:r>
            <w:r w:rsidR="00BA2CC8">
              <w:t>3</w:t>
            </w:r>
            <w:r w:rsidRPr="00050848">
              <w:t>)</w:t>
            </w:r>
          </w:p>
        </w:tc>
        <w:tc>
          <w:tcPr>
            <w:tcW w:w="5019" w:type="dxa"/>
            <w:tcBorders>
              <w:top w:val="single" w:sz="4" w:space="0" w:color="auto"/>
              <w:left w:val="single" w:sz="4" w:space="0" w:color="auto"/>
              <w:bottom w:val="single" w:sz="4" w:space="0" w:color="auto"/>
              <w:right w:val="single" w:sz="4" w:space="0" w:color="auto"/>
            </w:tcBorders>
          </w:tcPr>
          <w:p w14:paraId="2D050B5C" w14:textId="77777777" w:rsidR="00050848" w:rsidRPr="00050848" w:rsidRDefault="00050848" w:rsidP="00050848">
            <w:pPr>
              <w:rPr>
                <w:b/>
              </w:rPr>
            </w:pPr>
            <w:r w:rsidRPr="00050848">
              <w:rPr>
                <w:b/>
              </w:rPr>
              <w:t>Application of business value justification concepts:</w:t>
            </w:r>
          </w:p>
          <w:p w14:paraId="3591A5A2" w14:textId="77777777" w:rsidR="00050848" w:rsidRPr="00050848" w:rsidRDefault="00050848" w:rsidP="00050848"/>
          <w:p w14:paraId="2F8C1031" w14:textId="0BB8EE16" w:rsidR="00050848" w:rsidRPr="00050848" w:rsidRDefault="00050848" w:rsidP="00050848">
            <w:pPr>
              <w:numPr>
                <w:ilvl w:val="0"/>
                <w:numId w:val="15"/>
              </w:numPr>
            </w:pPr>
            <w:r w:rsidRPr="00050848">
              <w:t>Student</w:t>
            </w:r>
            <w:r w:rsidR="00930B62">
              <w:t>s</w:t>
            </w:r>
            <w:r w:rsidRPr="00050848">
              <w:t xml:space="preserve"> present their </w:t>
            </w:r>
            <w:r w:rsidRPr="00050848">
              <w:rPr>
                <w:i/>
              </w:rPr>
              <w:t>HappyPay Case Assignment</w:t>
            </w:r>
            <w:r w:rsidRPr="00050848">
              <w:t xml:space="preserve"> solutions: the business value case for the IAM investment of HappyPay.</w:t>
            </w:r>
          </w:p>
          <w:p w14:paraId="2B560790" w14:textId="77777777" w:rsidR="00050848" w:rsidRPr="00050848" w:rsidRDefault="00050848" w:rsidP="00050848">
            <w:pPr>
              <w:numPr>
                <w:ilvl w:val="0"/>
                <w:numId w:val="15"/>
              </w:numPr>
            </w:pPr>
            <w:r w:rsidRPr="00050848">
              <w:t xml:space="preserve">Background materials for the </w:t>
            </w:r>
            <w:r w:rsidRPr="00050848">
              <w:rPr>
                <w:i/>
              </w:rPr>
              <w:t>HappyPay Case Assignment</w:t>
            </w:r>
            <w:r w:rsidRPr="00050848">
              <w:t xml:space="preserve">: </w:t>
            </w:r>
          </w:p>
          <w:p w14:paraId="1E6CD809" w14:textId="14BCC77F" w:rsidR="00050848" w:rsidRPr="00050848" w:rsidRDefault="00050848" w:rsidP="00050848">
            <w:pPr>
              <w:numPr>
                <w:ilvl w:val="2"/>
                <w:numId w:val="15"/>
              </w:numPr>
            </w:pPr>
            <w:r w:rsidRPr="00050848">
              <w:rPr>
                <w:b/>
              </w:rPr>
              <w:t>(Canvas)</w:t>
            </w:r>
            <w:r w:rsidRPr="00050848">
              <w:t>. HappyPay Case - Part II (see both PDF file and Excel workbook)</w:t>
            </w:r>
            <w:r w:rsidR="00930B62">
              <w:t>.</w:t>
            </w:r>
          </w:p>
          <w:p w14:paraId="50A89800" w14:textId="77777777" w:rsidR="00050848" w:rsidRPr="00050848" w:rsidRDefault="00050848" w:rsidP="00050848">
            <w:pPr>
              <w:numPr>
                <w:ilvl w:val="2"/>
                <w:numId w:val="15"/>
              </w:numPr>
            </w:pPr>
            <w:r w:rsidRPr="00050848">
              <w:rPr>
                <w:b/>
              </w:rPr>
              <w:t>(Canvas)</w:t>
            </w:r>
            <w:r w:rsidRPr="00050848">
              <w:t>. SailPoint (2016). How to Create a Business Case for Identity and Access Management.</w:t>
            </w:r>
          </w:p>
          <w:p w14:paraId="6EDC23D2" w14:textId="77777777" w:rsidR="00050848" w:rsidRPr="00050848" w:rsidRDefault="00050848" w:rsidP="00050848"/>
          <w:p w14:paraId="0E5717BE" w14:textId="77777777" w:rsidR="00050848" w:rsidRPr="00050848" w:rsidRDefault="00050848" w:rsidP="00050848">
            <w:pPr>
              <w:numPr>
                <w:ilvl w:val="0"/>
                <w:numId w:val="15"/>
              </w:numPr>
            </w:pPr>
            <w:r w:rsidRPr="00050848">
              <w:t>Discussion of presentations</w:t>
            </w:r>
          </w:p>
          <w:p w14:paraId="3E368F98" w14:textId="77777777" w:rsidR="00050848" w:rsidRPr="00050848" w:rsidRDefault="00050848" w:rsidP="00050848">
            <w:pPr>
              <w:numPr>
                <w:ilvl w:val="0"/>
                <w:numId w:val="15"/>
              </w:numPr>
            </w:pPr>
            <w:r w:rsidRPr="00050848">
              <w:t>Discussion of strengths, weaknesses, and limitations of NPV, ROI, and TOC frameworks.</w:t>
            </w:r>
          </w:p>
          <w:p w14:paraId="4E2F7D34" w14:textId="77777777" w:rsidR="00050848" w:rsidRPr="00050848" w:rsidRDefault="00050848" w:rsidP="00050848"/>
        </w:tc>
        <w:tc>
          <w:tcPr>
            <w:tcW w:w="4250" w:type="dxa"/>
            <w:tcBorders>
              <w:top w:val="single" w:sz="4" w:space="0" w:color="auto"/>
              <w:left w:val="single" w:sz="4" w:space="0" w:color="auto"/>
              <w:bottom w:val="single" w:sz="4" w:space="0" w:color="auto"/>
              <w:right w:val="single" w:sz="4" w:space="0" w:color="auto"/>
            </w:tcBorders>
          </w:tcPr>
          <w:p w14:paraId="0EE31C92" w14:textId="77777777" w:rsidR="00050848" w:rsidRPr="00050848" w:rsidRDefault="00050848" w:rsidP="00050848">
            <w:r w:rsidRPr="00050848">
              <w:t>Hüseyin Tanriverdi</w:t>
            </w:r>
          </w:p>
        </w:tc>
      </w:tr>
      <w:tr w:rsidR="00050848" w:rsidRPr="00050848" w14:paraId="44563BA9" w14:textId="77777777" w:rsidTr="009535C4">
        <w:trPr>
          <w:trHeight w:val="367"/>
        </w:trPr>
        <w:tc>
          <w:tcPr>
            <w:tcW w:w="1830" w:type="dxa"/>
            <w:tcBorders>
              <w:top w:val="single" w:sz="4" w:space="0" w:color="auto"/>
              <w:left w:val="single" w:sz="4" w:space="0" w:color="auto"/>
              <w:bottom w:val="single" w:sz="4" w:space="0" w:color="auto"/>
              <w:right w:val="single" w:sz="4" w:space="0" w:color="auto"/>
            </w:tcBorders>
          </w:tcPr>
          <w:p w14:paraId="57384A0C" w14:textId="54B312F2" w:rsidR="00050848" w:rsidRPr="00050848" w:rsidRDefault="00050848" w:rsidP="00050848">
            <w:r w:rsidRPr="00050848">
              <w:t>4 (September 2</w:t>
            </w:r>
            <w:r w:rsidR="00BA2CC8">
              <w:t>4</w:t>
            </w:r>
            <w:r w:rsidRPr="00050848">
              <w:t>)</w:t>
            </w:r>
          </w:p>
        </w:tc>
        <w:tc>
          <w:tcPr>
            <w:tcW w:w="5019" w:type="dxa"/>
            <w:tcBorders>
              <w:top w:val="single" w:sz="4" w:space="0" w:color="auto"/>
              <w:left w:val="single" w:sz="4" w:space="0" w:color="auto"/>
              <w:bottom w:val="single" w:sz="4" w:space="0" w:color="auto"/>
              <w:right w:val="single" w:sz="4" w:space="0" w:color="auto"/>
            </w:tcBorders>
          </w:tcPr>
          <w:p w14:paraId="257DA067" w14:textId="77777777" w:rsidR="00050848" w:rsidRPr="00050848" w:rsidRDefault="00050848" w:rsidP="00050848">
            <w:pPr>
              <w:rPr>
                <w:b/>
              </w:rPr>
            </w:pPr>
            <w:r w:rsidRPr="00050848">
              <w:rPr>
                <w:b/>
              </w:rPr>
              <w:t>Application of public value justification concepts:</w:t>
            </w:r>
          </w:p>
          <w:p w14:paraId="5F7F546D" w14:textId="77777777" w:rsidR="00050848" w:rsidRPr="00050848" w:rsidRDefault="00050848" w:rsidP="00050848"/>
          <w:p w14:paraId="32D6BE9A" w14:textId="77777777" w:rsidR="00050848" w:rsidRPr="00050848" w:rsidRDefault="00050848" w:rsidP="00050848">
            <w:pPr>
              <w:numPr>
                <w:ilvl w:val="0"/>
                <w:numId w:val="12"/>
              </w:numPr>
            </w:pPr>
            <w:r w:rsidRPr="00050848">
              <w:t xml:space="preserve">Student teams present their solutions to the </w:t>
            </w:r>
            <w:r w:rsidRPr="00050848">
              <w:rPr>
                <w:i/>
              </w:rPr>
              <w:t>ShotSpotter Case Assignment</w:t>
            </w:r>
            <w:r w:rsidRPr="00050848">
              <w:t>: i.e., public value case for the ShotSpotter investment of Austin Police Department.</w:t>
            </w:r>
          </w:p>
          <w:p w14:paraId="735AEE16" w14:textId="77777777" w:rsidR="00050848" w:rsidRPr="00050848" w:rsidRDefault="00050848" w:rsidP="00050848">
            <w:pPr>
              <w:numPr>
                <w:ilvl w:val="0"/>
                <w:numId w:val="12"/>
              </w:numPr>
            </w:pPr>
            <w:r w:rsidRPr="00050848">
              <w:t xml:space="preserve">Background materials for the </w:t>
            </w:r>
            <w:r w:rsidRPr="00050848">
              <w:rPr>
                <w:i/>
              </w:rPr>
              <w:t>ShotSpotter Case Assignment</w:t>
            </w:r>
            <w:r w:rsidRPr="00050848">
              <w:t xml:space="preserve">: </w:t>
            </w:r>
          </w:p>
          <w:p w14:paraId="026CC186" w14:textId="293E112E" w:rsidR="00050848" w:rsidRPr="00050848" w:rsidRDefault="00050848" w:rsidP="00050848">
            <w:pPr>
              <w:numPr>
                <w:ilvl w:val="0"/>
                <w:numId w:val="12"/>
              </w:numPr>
            </w:pPr>
            <w:r w:rsidRPr="00050848">
              <w:rPr>
                <w:b/>
              </w:rPr>
              <w:t>(Harvard)</w:t>
            </w:r>
            <w:r w:rsidRPr="00050848">
              <w:t xml:space="preserve">. Weiss, M.B., and </w:t>
            </w:r>
            <w:proofErr w:type="spellStart"/>
            <w:r w:rsidRPr="00050848">
              <w:t>McAra</w:t>
            </w:r>
            <w:proofErr w:type="spellEnd"/>
            <w:r w:rsidRPr="00050848">
              <w:t>, S. (2016). ShotSpotter. Harvard Business School Product #: 817034-</w:t>
            </w:r>
            <w:r w:rsidRPr="00050848">
              <w:lastRenderedPageBreak/>
              <w:t xml:space="preserve">PDF-ENG (purchase the case at: </w:t>
            </w:r>
            <w:hyperlink r:id="rId10" w:history="1">
              <w:r w:rsidRPr="00050848">
                <w:rPr>
                  <w:rStyle w:val="Hyperlink"/>
                </w:rPr>
                <w:t>https://hbsp.harvard.edu/import/737681</w:t>
              </w:r>
            </w:hyperlink>
            <w:r w:rsidRPr="00050848">
              <w:t>)</w:t>
            </w:r>
            <w:r w:rsidR="00930B62">
              <w:t>.</w:t>
            </w:r>
          </w:p>
          <w:p w14:paraId="2148EB27" w14:textId="77777777" w:rsidR="00050848" w:rsidRPr="00050848" w:rsidRDefault="00050848" w:rsidP="00050848">
            <w:pPr>
              <w:numPr>
                <w:ilvl w:val="0"/>
                <w:numId w:val="12"/>
              </w:numPr>
            </w:pPr>
            <w:r w:rsidRPr="00050848">
              <w:rPr>
                <w:b/>
                <w:lang w:val="fr-FR"/>
              </w:rPr>
              <w:t>(Canvas)</w:t>
            </w:r>
            <w:r w:rsidRPr="00050848">
              <w:rPr>
                <w:lang w:val="fr-FR"/>
              </w:rPr>
              <w:t xml:space="preserve">. La Vigne, N.G., Thompson, P.S., Lawrence, D.S., Goff. M. (2019). </w:t>
            </w:r>
            <w:r w:rsidRPr="00050848">
              <w:t>“Implementing Gunshot Detection Technology Recommendations for Law Enforcement and Municipal Partners.”</w:t>
            </w:r>
          </w:p>
          <w:p w14:paraId="0571F6DD" w14:textId="77777777" w:rsidR="00050848" w:rsidRPr="00050848" w:rsidRDefault="00050848" w:rsidP="00050848">
            <w:pPr>
              <w:numPr>
                <w:ilvl w:val="0"/>
                <w:numId w:val="12"/>
              </w:numPr>
            </w:pPr>
            <w:r w:rsidRPr="00050848">
              <w:rPr>
                <w:b/>
              </w:rPr>
              <w:t>Re-read from session-2: (Canvas).</w:t>
            </w:r>
            <w:r w:rsidRPr="00050848">
              <w:t xml:space="preserve"> Moore, M.H., and Khagram, S. (2004). “On creating public value: what business might learn from government about strategic management,” Corporate Social Responsibility Initiative Working Paper #3, Cambridge, MA: John F. Kennedy School of Government, Harvard University.</w:t>
            </w:r>
          </w:p>
          <w:p w14:paraId="00182F8A" w14:textId="4D25D479" w:rsidR="00050848" w:rsidRPr="00050848" w:rsidRDefault="00050848" w:rsidP="00050848">
            <w:pPr>
              <w:numPr>
                <w:ilvl w:val="0"/>
                <w:numId w:val="12"/>
              </w:numPr>
            </w:pPr>
            <w:r w:rsidRPr="00050848">
              <w:rPr>
                <w:b/>
              </w:rPr>
              <w:t>Re-read from session-2: (Canvas)</w:t>
            </w:r>
            <w:r w:rsidRPr="00050848">
              <w:t>. ISACA. (2010). "The Business case guide: using Val IT™ 2.0." (ISBN 978-1-60420-105-5)</w:t>
            </w:r>
            <w:r w:rsidR="00930B62">
              <w:t>.</w:t>
            </w:r>
          </w:p>
          <w:p w14:paraId="3AE47DE6" w14:textId="3F54F9BA" w:rsidR="00050848" w:rsidRPr="00050848" w:rsidRDefault="00050848" w:rsidP="00050848">
            <w:pPr>
              <w:numPr>
                <w:ilvl w:val="0"/>
                <w:numId w:val="12"/>
              </w:numPr>
            </w:pPr>
            <w:r w:rsidRPr="00050848">
              <w:rPr>
                <w:b/>
              </w:rPr>
              <w:t>Re-read from session-2: (Canvas)</w:t>
            </w:r>
            <w:r w:rsidRPr="00050848">
              <w:t>. ISACA (2007). “Val IT Case Study: Value Governance—Police Case Study”</w:t>
            </w:r>
            <w:r w:rsidR="00930B62">
              <w:t>.</w:t>
            </w:r>
          </w:p>
          <w:p w14:paraId="6ABEC64E" w14:textId="77777777" w:rsidR="00050848" w:rsidRPr="00050848" w:rsidRDefault="00050848" w:rsidP="00050848"/>
          <w:p w14:paraId="33CA9F70" w14:textId="77777777" w:rsidR="00050848" w:rsidRPr="00050848" w:rsidRDefault="00050848" w:rsidP="00050848">
            <w:pPr>
              <w:numPr>
                <w:ilvl w:val="0"/>
                <w:numId w:val="12"/>
              </w:numPr>
            </w:pPr>
            <w:r w:rsidRPr="00050848">
              <w:t>Discussion of presentations</w:t>
            </w:r>
          </w:p>
          <w:p w14:paraId="7F536440" w14:textId="77777777" w:rsidR="00050848" w:rsidRPr="00050848" w:rsidRDefault="00050848" w:rsidP="00050848">
            <w:pPr>
              <w:numPr>
                <w:ilvl w:val="0"/>
                <w:numId w:val="12"/>
              </w:numPr>
            </w:pPr>
            <w:r w:rsidRPr="00050848">
              <w:t>Discussion of strengths, weaknesses, and limitations of the public value framework</w:t>
            </w:r>
          </w:p>
          <w:p w14:paraId="3D39DFEA" w14:textId="77777777" w:rsidR="00050848" w:rsidRPr="00050848" w:rsidRDefault="00050848" w:rsidP="00050848"/>
        </w:tc>
        <w:tc>
          <w:tcPr>
            <w:tcW w:w="4250" w:type="dxa"/>
            <w:tcBorders>
              <w:top w:val="single" w:sz="4" w:space="0" w:color="auto"/>
              <w:left w:val="single" w:sz="4" w:space="0" w:color="auto"/>
              <w:bottom w:val="single" w:sz="4" w:space="0" w:color="auto"/>
              <w:right w:val="single" w:sz="4" w:space="0" w:color="auto"/>
            </w:tcBorders>
          </w:tcPr>
          <w:p w14:paraId="704FE6CD" w14:textId="77777777" w:rsidR="00050848" w:rsidRPr="00050848" w:rsidRDefault="00050848" w:rsidP="00050848">
            <w:r w:rsidRPr="00050848">
              <w:lastRenderedPageBreak/>
              <w:t>Hüseyin Tanriverdi</w:t>
            </w:r>
          </w:p>
        </w:tc>
      </w:tr>
      <w:tr w:rsidR="00050848" w:rsidRPr="00050848" w14:paraId="46E99253" w14:textId="77777777" w:rsidTr="009535C4">
        <w:trPr>
          <w:trHeight w:val="389"/>
        </w:trPr>
        <w:tc>
          <w:tcPr>
            <w:tcW w:w="1830" w:type="dxa"/>
            <w:tcBorders>
              <w:top w:val="single" w:sz="4" w:space="0" w:color="auto"/>
              <w:left w:val="single" w:sz="4" w:space="0" w:color="auto"/>
              <w:bottom w:val="single" w:sz="4" w:space="0" w:color="auto"/>
              <w:right w:val="single" w:sz="4" w:space="0" w:color="auto"/>
            </w:tcBorders>
          </w:tcPr>
          <w:p w14:paraId="3B3B9F88" w14:textId="2E924858" w:rsidR="00050848" w:rsidRPr="00050848" w:rsidRDefault="00050848" w:rsidP="00050848">
            <w:r w:rsidRPr="00050848">
              <w:t xml:space="preserve">5 (Oct. </w:t>
            </w:r>
            <w:r w:rsidR="00BA2CC8">
              <w:t>21</w:t>
            </w:r>
            <w:r w:rsidRPr="00050848">
              <w:t>)</w:t>
            </w:r>
          </w:p>
        </w:tc>
        <w:tc>
          <w:tcPr>
            <w:tcW w:w="5019" w:type="dxa"/>
            <w:tcBorders>
              <w:top w:val="single" w:sz="4" w:space="0" w:color="auto"/>
              <w:left w:val="single" w:sz="4" w:space="0" w:color="auto"/>
              <w:bottom w:val="single" w:sz="4" w:space="0" w:color="auto"/>
              <w:right w:val="single" w:sz="4" w:space="0" w:color="auto"/>
            </w:tcBorders>
          </w:tcPr>
          <w:p w14:paraId="7963F5C6" w14:textId="77777777" w:rsidR="00050848" w:rsidRPr="00050848" w:rsidRDefault="00050848" w:rsidP="00050848">
            <w:pPr>
              <w:rPr>
                <w:b/>
              </w:rPr>
            </w:pPr>
            <w:r w:rsidRPr="00050848">
              <w:rPr>
                <w:b/>
              </w:rPr>
              <w:t>Fundamentals of Professional and General Liability Insurance</w:t>
            </w:r>
          </w:p>
          <w:p w14:paraId="0AD8B72D" w14:textId="77777777" w:rsidR="00050848" w:rsidRPr="00050848" w:rsidRDefault="00050848" w:rsidP="00050848">
            <w:pPr>
              <w:rPr>
                <w:b/>
              </w:rPr>
            </w:pPr>
          </w:p>
          <w:p w14:paraId="36F7F1C5" w14:textId="77777777" w:rsidR="00050848" w:rsidRPr="00050848" w:rsidRDefault="00050848" w:rsidP="00050848">
            <w:r w:rsidRPr="00050848">
              <w:rPr>
                <w:b/>
              </w:rPr>
              <w:t>Professional Liability (Cyber and Technology Risk) Overview</w:t>
            </w:r>
          </w:p>
        </w:tc>
        <w:tc>
          <w:tcPr>
            <w:tcW w:w="4250" w:type="dxa"/>
            <w:tcBorders>
              <w:top w:val="single" w:sz="4" w:space="0" w:color="auto"/>
              <w:left w:val="single" w:sz="4" w:space="0" w:color="auto"/>
              <w:bottom w:val="single" w:sz="4" w:space="0" w:color="auto"/>
              <w:right w:val="single" w:sz="4" w:space="0" w:color="auto"/>
            </w:tcBorders>
          </w:tcPr>
          <w:p w14:paraId="6102E3C9" w14:textId="77777777" w:rsidR="00050848" w:rsidRPr="00050848" w:rsidRDefault="00050848" w:rsidP="00050848">
            <w:r w:rsidRPr="00050848">
              <w:t>Ashley M. Hunter</w:t>
            </w:r>
          </w:p>
        </w:tc>
      </w:tr>
      <w:tr w:rsidR="00050848" w:rsidRPr="00050848" w14:paraId="753267AD" w14:textId="77777777" w:rsidTr="009535C4">
        <w:trPr>
          <w:trHeight w:val="367"/>
        </w:trPr>
        <w:tc>
          <w:tcPr>
            <w:tcW w:w="1830" w:type="dxa"/>
            <w:tcBorders>
              <w:top w:val="single" w:sz="4" w:space="0" w:color="auto"/>
              <w:left w:val="single" w:sz="4" w:space="0" w:color="auto"/>
              <w:bottom w:val="single" w:sz="4" w:space="0" w:color="auto"/>
              <w:right w:val="single" w:sz="4" w:space="0" w:color="auto"/>
            </w:tcBorders>
          </w:tcPr>
          <w:p w14:paraId="099F611C" w14:textId="0261EF10" w:rsidR="00050848" w:rsidRPr="00050848" w:rsidRDefault="00050848" w:rsidP="00050848">
            <w:r w:rsidRPr="00050848">
              <w:t xml:space="preserve">6 (Oct. </w:t>
            </w:r>
            <w:r w:rsidR="00BA2CC8">
              <w:t>22</w:t>
            </w:r>
            <w:r w:rsidRPr="00050848">
              <w:t>)</w:t>
            </w:r>
          </w:p>
        </w:tc>
        <w:tc>
          <w:tcPr>
            <w:tcW w:w="5019" w:type="dxa"/>
            <w:tcBorders>
              <w:top w:val="single" w:sz="4" w:space="0" w:color="auto"/>
              <w:left w:val="single" w:sz="4" w:space="0" w:color="auto"/>
              <w:bottom w:val="single" w:sz="4" w:space="0" w:color="auto"/>
              <w:right w:val="single" w:sz="4" w:space="0" w:color="auto"/>
            </w:tcBorders>
          </w:tcPr>
          <w:p w14:paraId="425D1250" w14:textId="77777777" w:rsidR="00050848" w:rsidRPr="00050848" w:rsidRDefault="00050848" w:rsidP="00050848">
            <w:pPr>
              <w:rPr>
                <w:b/>
              </w:rPr>
            </w:pPr>
            <w:r w:rsidRPr="00050848">
              <w:rPr>
                <w:b/>
              </w:rPr>
              <w:t xml:space="preserve">Financial Analysis </w:t>
            </w:r>
          </w:p>
          <w:p w14:paraId="0794682C" w14:textId="77777777" w:rsidR="00050848" w:rsidRPr="00050848" w:rsidRDefault="00050848" w:rsidP="00050848">
            <w:pPr>
              <w:rPr>
                <w:b/>
              </w:rPr>
            </w:pPr>
            <w:r w:rsidRPr="00050848">
              <w:rPr>
                <w:b/>
              </w:rPr>
              <w:t>Professional Liability Reinsurance</w:t>
            </w:r>
          </w:p>
          <w:p w14:paraId="636D230B" w14:textId="77777777" w:rsidR="00050848" w:rsidRPr="00050848" w:rsidRDefault="00050848" w:rsidP="00050848">
            <w:pPr>
              <w:rPr>
                <w:b/>
              </w:rPr>
            </w:pPr>
            <w:r w:rsidRPr="00050848">
              <w:rPr>
                <w:b/>
              </w:rPr>
              <w:t>Alternative Risk Markets</w:t>
            </w:r>
          </w:p>
          <w:p w14:paraId="6CE64CA3" w14:textId="77777777" w:rsidR="00050848" w:rsidRPr="00050848" w:rsidRDefault="00050848" w:rsidP="00050848">
            <w:r w:rsidRPr="00050848">
              <w:rPr>
                <w:b/>
              </w:rPr>
              <w:t>Privacy and Data Security Liability</w:t>
            </w:r>
          </w:p>
        </w:tc>
        <w:tc>
          <w:tcPr>
            <w:tcW w:w="4250" w:type="dxa"/>
            <w:tcBorders>
              <w:top w:val="single" w:sz="4" w:space="0" w:color="auto"/>
              <w:left w:val="single" w:sz="4" w:space="0" w:color="auto"/>
              <w:bottom w:val="single" w:sz="4" w:space="0" w:color="auto"/>
              <w:right w:val="single" w:sz="4" w:space="0" w:color="auto"/>
            </w:tcBorders>
          </w:tcPr>
          <w:p w14:paraId="5A16FBC7" w14:textId="77777777" w:rsidR="00050848" w:rsidRPr="00050848" w:rsidRDefault="00050848" w:rsidP="00050848">
            <w:r w:rsidRPr="00050848">
              <w:t>Ashley M. Hunter</w:t>
            </w:r>
          </w:p>
          <w:p w14:paraId="3EC5F728" w14:textId="77777777" w:rsidR="00050848" w:rsidRPr="00050848" w:rsidRDefault="00050848" w:rsidP="00050848"/>
          <w:p w14:paraId="4BA788A8" w14:textId="77777777" w:rsidR="00050848" w:rsidRPr="00050848" w:rsidRDefault="00050848" w:rsidP="00050848"/>
        </w:tc>
      </w:tr>
      <w:tr w:rsidR="00050848" w:rsidRPr="00050848" w14:paraId="1028FA64" w14:textId="77777777" w:rsidTr="009535C4">
        <w:trPr>
          <w:trHeight w:val="367"/>
        </w:trPr>
        <w:tc>
          <w:tcPr>
            <w:tcW w:w="1830" w:type="dxa"/>
            <w:tcBorders>
              <w:top w:val="single" w:sz="4" w:space="0" w:color="auto"/>
              <w:left w:val="single" w:sz="4" w:space="0" w:color="auto"/>
              <w:bottom w:val="single" w:sz="4" w:space="0" w:color="auto"/>
              <w:right w:val="single" w:sz="4" w:space="0" w:color="auto"/>
            </w:tcBorders>
          </w:tcPr>
          <w:p w14:paraId="29C03F1A" w14:textId="296292EA" w:rsidR="00050848" w:rsidRPr="00050848" w:rsidRDefault="00050848" w:rsidP="00050848">
            <w:r w:rsidRPr="00050848">
              <w:t>7 (Nov. 1</w:t>
            </w:r>
            <w:r w:rsidR="00BA2CC8">
              <w:t>8</w:t>
            </w:r>
            <w:r w:rsidRPr="00050848">
              <w:t>)</w:t>
            </w:r>
          </w:p>
        </w:tc>
        <w:tc>
          <w:tcPr>
            <w:tcW w:w="5019" w:type="dxa"/>
            <w:tcBorders>
              <w:top w:val="single" w:sz="4" w:space="0" w:color="auto"/>
              <w:left w:val="single" w:sz="4" w:space="0" w:color="auto"/>
              <w:bottom w:val="single" w:sz="4" w:space="0" w:color="auto"/>
              <w:right w:val="single" w:sz="4" w:space="0" w:color="auto"/>
            </w:tcBorders>
          </w:tcPr>
          <w:p w14:paraId="4F41879C" w14:textId="77777777" w:rsidR="00050848" w:rsidRPr="00050848" w:rsidRDefault="00050848" w:rsidP="00050848">
            <w:pPr>
              <w:rPr>
                <w:b/>
              </w:rPr>
            </w:pPr>
            <w:r w:rsidRPr="00050848">
              <w:rPr>
                <w:b/>
              </w:rPr>
              <w:t xml:space="preserve">Privacy and Data Security Liability </w:t>
            </w:r>
            <w:r w:rsidRPr="00050848">
              <w:rPr>
                <w:b/>
                <w:i/>
              </w:rPr>
              <w:t>(cont.)</w:t>
            </w:r>
          </w:p>
          <w:p w14:paraId="1FFC4A3C" w14:textId="77777777" w:rsidR="00050848" w:rsidRPr="00050848" w:rsidRDefault="00050848" w:rsidP="00050848">
            <w:pPr>
              <w:rPr>
                <w:b/>
              </w:rPr>
            </w:pPr>
            <w:r w:rsidRPr="00050848">
              <w:rPr>
                <w:b/>
              </w:rPr>
              <w:t>Reinsurance</w:t>
            </w:r>
          </w:p>
          <w:p w14:paraId="2CB89C1E" w14:textId="77777777" w:rsidR="00050848" w:rsidRPr="00050848" w:rsidRDefault="00050848" w:rsidP="00050848">
            <w:r w:rsidRPr="00050848">
              <w:rPr>
                <w:b/>
              </w:rPr>
              <w:t>Insurer Financial Statements</w:t>
            </w:r>
          </w:p>
        </w:tc>
        <w:tc>
          <w:tcPr>
            <w:tcW w:w="4250" w:type="dxa"/>
            <w:tcBorders>
              <w:top w:val="single" w:sz="4" w:space="0" w:color="auto"/>
              <w:left w:val="single" w:sz="4" w:space="0" w:color="auto"/>
              <w:bottom w:val="single" w:sz="4" w:space="0" w:color="auto"/>
              <w:right w:val="single" w:sz="4" w:space="0" w:color="auto"/>
            </w:tcBorders>
          </w:tcPr>
          <w:p w14:paraId="4149E6D7" w14:textId="77777777" w:rsidR="00050848" w:rsidRPr="00050848" w:rsidRDefault="00050848" w:rsidP="00050848">
            <w:r w:rsidRPr="00050848">
              <w:t>Ashley M. Hunter</w:t>
            </w:r>
          </w:p>
          <w:p w14:paraId="4B29ABEF" w14:textId="77777777" w:rsidR="00050848" w:rsidRPr="00050848" w:rsidRDefault="00050848" w:rsidP="00050848"/>
          <w:p w14:paraId="18B5C3E6" w14:textId="77777777" w:rsidR="00050848" w:rsidRPr="00050848" w:rsidRDefault="00050848" w:rsidP="00050848"/>
        </w:tc>
      </w:tr>
      <w:tr w:rsidR="00050848" w:rsidRPr="00050848" w14:paraId="2C9C97E5" w14:textId="77777777" w:rsidTr="009535C4">
        <w:trPr>
          <w:trHeight w:val="389"/>
        </w:trPr>
        <w:tc>
          <w:tcPr>
            <w:tcW w:w="1830" w:type="dxa"/>
            <w:tcBorders>
              <w:top w:val="single" w:sz="4" w:space="0" w:color="auto"/>
              <w:left w:val="single" w:sz="4" w:space="0" w:color="auto"/>
              <w:bottom w:val="single" w:sz="4" w:space="0" w:color="auto"/>
              <w:right w:val="single" w:sz="4" w:space="0" w:color="auto"/>
            </w:tcBorders>
          </w:tcPr>
          <w:p w14:paraId="0F1A8BC6" w14:textId="47B12CD4" w:rsidR="00050848" w:rsidRPr="00050848" w:rsidRDefault="00050848" w:rsidP="00050848">
            <w:r w:rsidRPr="00050848">
              <w:lastRenderedPageBreak/>
              <w:t>8 (Nov. 1</w:t>
            </w:r>
            <w:r w:rsidR="00BA2CC8">
              <w:t>9</w:t>
            </w:r>
            <w:r w:rsidRPr="00050848">
              <w:t>)</w:t>
            </w:r>
          </w:p>
        </w:tc>
        <w:tc>
          <w:tcPr>
            <w:tcW w:w="5019" w:type="dxa"/>
            <w:tcBorders>
              <w:top w:val="single" w:sz="4" w:space="0" w:color="auto"/>
              <w:left w:val="single" w:sz="4" w:space="0" w:color="auto"/>
              <w:bottom w:val="single" w:sz="4" w:space="0" w:color="auto"/>
              <w:right w:val="single" w:sz="4" w:space="0" w:color="auto"/>
            </w:tcBorders>
          </w:tcPr>
          <w:p w14:paraId="0870DC50" w14:textId="77777777" w:rsidR="00050848" w:rsidRPr="00050848" w:rsidRDefault="00050848" w:rsidP="00050848">
            <w:pPr>
              <w:rPr>
                <w:b/>
              </w:rPr>
            </w:pPr>
            <w:r w:rsidRPr="00050848">
              <w:rPr>
                <w:b/>
              </w:rPr>
              <w:t>Interpreting Insurer Financial Statements</w:t>
            </w:r>
          </w:p>
          <w:p w14:paraId="6CC09112" w14:textId="77777777" w:rsidR="00050848" w:rsidRPr="00050848" w:rsidRDefault="00050848" w:rsidP="00050848">
            <w:pPr>
              <w:rPr>
                <w:b/>
              </w:rPr>
            </w:pPr>
            <w:r w:rsidRPr="00050848">
              <w:rPr>
                <w:b/>
              </w:rPr>
              <w:t>Insurer Financial Management</w:t>
            </w:r>
          </w:p>
          <w:p w14:paraId="328A5F98" w14:textId="77777777" w:rsidR="00050848" w:rsidRPr="00050848" w:rsidRDefault="00050848" w:rsidP="00050848">
            <w:r w:rsidRPr="00050848">
              <w:rPr>
                <w:b/>
              </w:rPr>
              <w:t>Insurer Strategic Management and Global Operations</w:t>
            </w:r>
          </w:p>
        </w:tc>
        <w:tc>
          <w:tcPr>
            <w:tcW w:w="4250" w:type="dxa"/>
            <w:tcBorders>
              <w:top w:val="single" w:sz="4" w:space="0" w:color="auto"/>
              <w:left w:val="single" w:sz="4" w:space="0" w:color="auto"/>
              <w:bottom w:val="single" w:sz="4" w:space="0" w:color="auto"/>
              <w:right w:val="single" w:sz="4" w:space="0" w:color="auto"/>
            </w:tcBorders>
          </w:tcPr>
          <w:p w14:paraId="01820E08" w14:textId="77777777" w:rsidR="00050848" w:rsidRPr="00050848" w:rsidRDefault="00050848" w:rsidP="00050848">
            <w:r w:rsidRPr="00050848">
              <w:t>Ashley M. Hunter</w:t>
            </w:r>
          </w:p>
          <w:p w14:paraId="75610B24" w14:textId="77777777" w:rsidR="00050848" w:rsidRPr="00050848" w:rsidRDefault="00050848" w:rsidP="00050848"/>
          <w:p w14:paraId="26F553CD" w14:textId="77777777" w:rsidR="00050848" w:rsidRPr="00050848" w:rsidRDefault="00050848" w:rsidP="00050848"/>
        </w:tc>
      </w:tr>
      <w:tr w:rsidR="00050848" w:rsidRPr="00050848" w14:paraId="12ABCD44" w14:textId="77777777" w:rsidTr="009535C4">
        <w:trPr>
          <w:trHeight w:val="389"/>
        </w:trPr>
        <w:tc>
          <w:tcPr>
            <w:tcW w:w="1830" w:type="dxa"/>
            <w:tcBorders>
              <w:top w:val="single" w:sz="4" w:space="0" w:color="auto"/>
              <w:left w:val="single" w:sz="4" w:space="0" w:color="auto"/>
              <w:bottom w:val="single" w:sz="4" w:space="0" w:color="auto"/>
              <w:right w:val="single" w:sz="4" w:space="0" w:color="auto"/>
            </w:tcBorders>
          </w:tcPr>
          <w:p w14:paraId="0E7BFD6B" w14:textId="07404049" w:rsidR="00050848" w:rsidRPr="00050848" w:rsidRDefault="00050848" w:rsidP="00050848">
            <w:r w:rsidRPr="00050848">
              <w:t xml:space="preserve">9 (Dec. </w:t>
            </w:r>
            <w:r w:rsidR="00BA2CC8">
              <w:t>9</w:t>
            </w:r>
            <w:r w:rsidRPr="00050848">
              <w:t>)</w:t>
            </w:r>
          </w:p>
        </w:tc>
        <w:tc>
          <w:tcPr>
            <w:tcW w:w="5019" w:type="dxa"/>
            <w:tcBorders>
              <w:top w:val="single" w:sz="4" w:space="0" w:color="auto"/>
              <w:left w:val="single" w:sz="4" w:space="0" w:color="auto"/>
              <w:bottom w:val="single" w:sz="4" w:space="0" w:color="auto"/>
              <w:right w:val="single" w:sz="4" w:space="0" w:color="auto"/>
            </w:tcBorders>
          </w:tcPr>
          <w:p w14:paraId="45B5A173" w14:textId="77777777" w:rsidR="00050848" w:rsidRPr="00050848" w:rsidRDefault="00050848" w:rsidP="00050848">
            <w:pPr>
              <w:rPr>
                <w:b/>
              </w:rPr>
            </w:pPr>
            <w:r w:rsidRPr="00050848">
              <w:rPr>
                <w:b/>
              </w:rPr>
              <w:t>Elements of national macroeconomic efficiency</w:t>
            </w:r>
          </w:p>
          <w:p w14:paraId="63FF9FBA" w14:textId="77777777" w:rsidR="00050848" w:rsidRPr="00050848" w:rsidRDefault="00050848" w:rsidP="00050848">
            <w:pPr>
              <w:rPr>
                <w:b/>
              </w:rPr>
            </w:pPr>
            <w:r w:rsidRPr="00050848">
              <w:rPr>
                <w:b/>
              </w:rPr>
              <w:t>Assumptions about private economics in a public economy</w:t>
            </w:r>
          </w:p>
          <w:p w14:paraId="609F9270" w14:textId="77777777" w:rsidR="00050848" w:rsidRPr="00050848" w:rsidRDefault="00050848" w:rsidP="00050848">
            <w:r w:rsidRPr="00050848">
              <w:rPr>
                <w:b/>
              </w:rPr>
              <w:t>National productivity gains and the digital economy</w:t>
            </w:r>
            <w:r w:rsidRPr="00050848">
              <w:t xml:space="preserve"> </w:t>
            </w:r>
          </w:p>
          <w:p w14:paraId="64C1B3CB" w14:textId="77777777" w:rsidR="00050848" w:rsidRPr="00050848" w:rsidRDefault="00050848" w:rsidP="00050848">
            <w:r w:rsidRPr="00050848">
              <w:t xml:space="preserve">Read before class: (Canvas) Camp &amp; Johnson, </w:t>
            </w:r>
            <w:proofErr w:type="spellStart"/>
            <w:r w:rsidRPr="00050848">
              <w:t>Chs</w:t>
            </w:r>
            <w:proofErr w:type="spellEnd"/>
            <w:r w:rsidRPr="00050848">
              <w:t>. 5 and 6; Ch. 10</w:t>
            </w:r>
          </w:p>
        </w:tc>
        <w:tc>
          <w:tcPr>
            <w:tcW w:w="4250" w:type="dxa"/>
            <w:tcBorders>
              <w:top w:val="single" w:sz="4" w:space="0" w:color="auto"/>
              <w:left w:val="single" w:sz="4" w:space="0" w:color="auto"/>
              <w:bottom w:val="single" w:sz="4" w:space="0" w:color="auto"/>
              <w:right w:val="single" w:sz="4" w:space="0" w:color="auto"/>
            </w:tcBorders>
          </w:tcPr>
          <w:p w14:paraId="761B5C2B" w14:textId="77777777" w:rsidR="00050848" w:rsidRPr="00050848" w:rsidRDefault="00050848" w:rsidP="00050848">
            <w:r w:rsidRPr="00050848">
              <w:t>Bruce Kellison</w:t>
            </w:r>
          </w:p>
        </w:tc>
      </w:tr>
      <w:tr w:rsidR="00050848" w:rsidRPr="00050848" w14:paraId="750A333B" w14:textId="77777777" w:rsidTr="009535C4">
        <w:trPr>
          <w:trHeight w:val="389"/>
        </w:trPr>
        <w:tc>
          <w:tcPr>
            <w:tcW w:w="1830" w:type="dxa"/>
            <w:tcBorders>
              <w:top w:val="single" w:sz="4" w:space="0" w:color="auto"/>
              <w:left w:val="single" w:sz="4" w:space="0" w:color="auto"/>
              <w:bottom w:val="single" w:sz="4" w:space="0" w:color="auto"/>
              <w:right w:val="single" w:sz="4" w:space="0" w:color="auto"/>
            </w:tcBorders>
          </w:tcPr>
          <w:p w14:paraId="63EE760E" w14:textId="29AA2245" w:rsidR="00050848" w:rsidRPr="00050848" w:rsidRDefault="00050848" w:rsidP="00050848">
            <w:r w:rsidRPr="00050848">
              <w:t xml:space="preserve">10 (Dec. </w:t>
            </w:r>
            <w:r w:rsidR="00BA2CC8">
              <w:t>10</w:t>
            </w:r>
            <w:r w:rsidRPr="00050848">
              <w:t>)</w:t>
            </w:r>
          </w:p>
        </w:tc>
        <w:tc>
          <w:tcPr>
            <w:tcW w:w="5019" w:type="dxa"/>
            <w:tcBorders>
              <w:top w:val="single" w:sz="4" w:space="0" w:color="auto"/>
              <w:left w:val="single" w:sz="4" w:space="0" w:color="auto"/>
              <w:bottom w:val="single" w:sz="4" w:space="0" w:color="auto"/>
              <w:right w:val="single" w:sz="4" w:space="0" w:color="auto"/>
            </w:tcBorders>
          </w:tcPr>
          <w:p w14:paraId="4E33D472" w14:textId="77777777" w:rsidR="00050848" w:rsidRPr="00050848" w:rsidRDefault="00050848" w:rsidP="00050848">
            <w:pPr>
              <w:rPr>
                <w:b/>
              </w:rPr>
            </w:pPr>
            <w:r w:rsidRPr="00050848">
              <w:rPr>
                <w:b/>
              </w:rPr>
              <w:t>Issues of national security: IRS, OPM breaches</w:t>
            </w:r>
          </w:p>
          <w:p w14:paraId="3569FFB1" w14:textId="77777777" w:rsidR="00050848" w:rsidRPr="00050848" w:rsidRDefault="00050848" w:rsidP="00050848">
            <w:pPr>
              <w:rPr>
                <w:b/>
              </w:rPr>
            </w:pPr>
            <w:r w:rsidRPr="00050848">
              <w:rPr>
                <w:b/>
              </w:rPr>
              <w:t xml:space="preserve">Issues of national security: State-sponsored threats </w:t>
            </w:r>
          </w:p>
          <w:p w14:paraId="3E8300D1" w14:textId="77777777" w:rsidR="00050848" w:rsidRPr="00050848" w:rsidRDefault="00050848" w:rsidP="00050848">
            <w:pPr>
              <w:rPr>
                <w:b/>
              </w:rPr>
            </w:pPr>
            <w:r w:rsidRPr="00050848">
              <w:rPr>
                <w:b/>
              </w:rPr>
              <w:t>Issues of national security: international organized crime</w:t>
            </w:r>
          </w:p>
          <w:p w14:paraId="42C331C2" w14:textId="77777777" w:rsidR="00050848" w:rsidRPr="00050848" w:rsidRDefault="00050848" w:rsidP="00050848">
            <w:r w:rsidRPr="00050848">
              <w:t>Read before class: (Canvas) Camp &amp; Johnson, Ch. 11 and Closing;  Wehbé, “OPM Data Breach Case Study: Mitigating Personnel Security Risk” (2017)</w:t>
            </w:r>
          </w:p>
          <w:p w14:paraId="5558C587" w14:textId="77777777" w:rsidR="00050848" w:rsidRPr="00050848" w:rsidRDefault="00050848" w:rsidP="00050848">
            <w:r w:rsidRPr="00050848">
              <w:t>Seeley, “Once More Unto the Breach: The Constitutional Right to Informational Privacy and the Privacy Act” (2016)</w:t>
            </w:r>
          </w:p>
          <w:p w14:paraId="499EB504" w14:textId="77777777" w:rsidR="00050848" w:rsidRPr="00050848" w:rsidRDefault="00050848" w:rsidP="00050848"/>
        </w:tc>
        <w:tc>
          <w:tcPr>
            <w:tcW w:w="4250" w:type="dxa"/>
            <w:tcBorders>
              <w:top w:val="single" w:sz="4" w:space="0" w:color="auto"/>
              <w:left w:val="single" w:sz="4" w:space="0" w:color="auto"/>
              <w:bottom w:val="single" w:sz="4" w:space="0" w:color="auto"/>
              <w:right w:val="single" w:sz="4" w:space="0" w:color="auto"/>
            </w:tcBorders>
          </w:tcPr>
          <w:p w14:paraId="689346A6" w14:textId="77777777" w:rsidR="00050848" w:rsidRPr="00050848" w:rsidRDefault="00050848" w:rsidP="00050848">
            <w:r w:rsidRPr="00050848">
              <w:t>Bruce Kellison</w:t>
            </w:r>
          </w:p>
        </w:tc>
      </w:tr>
    </w:tbl>
    <w:p w14:paraId="50B45A02" w14:textId="77777777" w:rsidR="00050848" w:rsidRPr="00050848" w:rsidRDefault="00050848" w:rsidP="00050848"/>
    <w:p w14:paraId="2C6AF5E7" w14:textId="6895E93A" w:rsidR="0015612E" w:rsidRPr="00852AD5" w:rsidRDefault="0015612E" w:rsidP="00170F9F">
      <w:pPr>
        <w:pStyle w:val="Heading1"/>
      </w:pPr>
      <w:r w:rsidRPr="00852AD5">
        <w:t>University of Texas and MSISP grading policies</w:t>
      </w:r>
    </w:p>
    <w:p w14:paraId="4FDA57AC" w14:textId="77777777" w:rsidR="0015612E" w:rsidRPr="00852AD5" w:rsidRDefault="0015612E" w:rsidP="00E27E36">
      <w:pPr>
        <w:pStyle w:val="Heading2"/>
      </w:pPr>
      <w:bookmarkStart w:id="0" w:name="x__Toc82075369"/>
      <w:r w:rsidRPr="00852AD5">
        <w:t>Examinations</w:t>
      </w:r>
      <w:bookmarkEnd w:id="0"/>
      <w:r w:rsidRPr="00852AD5">
        <w:t> and Grades</w:t>
      </w:r>
    </w:p>
    <w:p w14:paraId="06624C56" w14:textId="1DD0689D" w:rsidR="0015612E" w:rsidRPr="00852AD5" w:rsidRDefault="0015612E" w:rsidP="0015612E">
      <w:pPr>
        <w:rPr>
          <w:rFonts w:asciiTheme="majorBidi" w:hAnsiTheme="majorBidi" w:cstheme="majorBidi"/>
          <w:color w:val="201F1E"/>
        </w:rPr>
      </w:pPr>
      <w:r w:rsidRPr="00852AD5">
        <w:rPr>
          <w:rFonts w:asciiTheme="majorBidi" w:hAnsiTheme="majorBidi" w:cstheme="majorBidi"/>
          <w:color w:val="201F1E"/>
          <w:bdr w:val="none" w:sz="0" w:space="0" w:color="auto" w:frame="1"/>
        </w:rPr>
        <w:t xml:space="preserve">The faculty </w:t>
      </w:r>
      <w:r w:rsidR="00E27E36" w:rsidRPr="00852AD5">
        <w:rPr>
          <w:rFonts w:asciiTheme="majorBidi" w:hAnsiTheme="majorBidi" w:cstheme="majorBidi"/>
          <w:color w:val="201F1E"/>
          <w:bdr w:val="none" w:sz="0" w:space="0" w:color="auto" w:frame="1"/>
        </w:rPr>
        <w:t>instructors</w:t>
      </w:r>
      <w:r w:rsidRPr="00852AD5">
        <w:rPr>
          <w:rFonts w:asciiTheme="majorBidi" w:hAnsiTheme="majorBidi" w:cstheme="majorBidi"/>
          <w:color w:val="201F1E"/>
          <w:bdr w:val="none" w:sz="0" w:space="0" w:color="auto" w:frame="1"/>
        </w:rPr>
        <w:t xml:space="preserve"> for each course will determine </w:t>
      </w:r>
      <w:r w:rsidR="000540C8" w:rsidRPr="00852AD5">
        <w:rPr>
          <w:rFonts w:asciiTheme="majorBidi" w:hAnsiTheme="majorBidi" w:cstheme="majorBidi"/>
          <w:color w:val="201F1E"/>
          <w:bdr w:val="none" w:sz="0" w:space="0" w:color="auto" w:frame="1"/>
        </w:rPr>
        <w:t xml:space="preserve">if exams are necessary as well as </w:t>
      </w:r>
      <w:r w:rsidRPr="00852AD5">
        <w:rPr>
          <w:rFonts w:asciiTheme="majorBidi" w:hAnsiTheme="majorBidi" w:cstheme="majorBidi"/>
          <w:color w:val="201F1E"/>
          <w:bdr w:val="none" w:sz="0" w:space="0" w:color="auto" w:frame="1"/>
        </w:rPr>
        <w:t>exam schedules and grading criteria</w:t>
      </w:r>
      <w:r w:rsidR="000540C8" w:rsidRPr="00852AD5">
        <w:rPr>
          <w:rFonts w:asciiTheme="majorBidi" w:hAnsiTheme="majorBidi" w:cstheme="majorBidi"/>
          <w:color w:val="201F1E"/>
          <w:bdr w:val="none" w:sz="0" w:space="0" w:color="auto" w:frame="1"/>
        </w:rPr>
        <w:t xml:space="preserve"> if exams are included</w:t>
      </w:r>
      <w:r w:rsidRPr="00852AD5">
        <w:rPr>
          <w:rFonts w:asciiTheme="majorBidi" w:hAnsiTheme="majorBidi" w:cstheme="majorBidi"/>
          <w:color w:val="201F1E"/>
          <w:bdr w:val="none" w:sz="0" w:space="0" w:color="auto" w:frame="1"/>
        </w:rPr>
        <w:t>.  </w:t>
      </w:r>
    </w:p>
    <w:p w14:paraId="04173379" w14:textId="77777777" w:rsidR="0015612E" w:rsidRPr="00852AD5" w:rsidRDefault="0015612E" w:rsidP="0015612E">
      <w:pPr>
        <w:rPr>
          <w:rFonts w:asciiTheme="majorBidi" w:hAnsiTheme="majorBidi" w:cstheme="majorBidi"/>
          <w:color w:val="201F1E"/>
        </w:rPr>
      </w:pPr>
      <w:r w:rsidRPr="00852AD5">
        <w:rPr>
          <w:rFonts w:asciiTheme="majorBidi" w:hAnsiTheme="majorBidi" w:cstheme="majorBidi"/>
          <w:color w:val="201F1E"/>
          <w:bdr w:val="none" w:sz="0" w:space="0" w:color="auto" w:frame="1"/>
        </w:rPr>
        <w:t> </w:t>
      </w:r>
    </w:p>
    <w:p w14:paraId="091E4D3A" w14:textId="77777777" w:rsidR="0015612E" w:rsidRPr="00852AD5" w:rsidRDefault="0015612E" w:rsidP="00E27E36">
      <w:pPr>
        <w:pStyle w:val="Heading2"/>
        <w:rPr>
          <w:color w:val="201F1E"/>
        </w:rPr>
      </w:pPr>
      <w:r w:rsidRPr="00852AD5">
        <w:t>Grading</w:t>
      </w:r>
    </w:p>
    <w:p w14:paraId="01F5289C" w14:textId="6ED622C7" w:rsidR="0015612E" w:rsidRPr="00852AD5" w:rsidRDefault="00CA5FF6" w:rsidP="000540C8">
      <w:pPr>
        <w:rPr>
          <w:rFonts w:asciiTheme="majorBidi" w:hAnsiTheme="majorBidi" w:cstheme="majorBidi"/>
          <w:color w:val="201F1E"/>
        </w:rPr>
      </w:pPr>
      <w:r>
        <w:rPr>
          <w:rFonts w:asciiTheme="majorBidi" w:hAnsiTheme="majorBidi" w:cstheme="majorBidi"/>
          <w:color w:val="201F1E"/>
          <w:bdr w:val="none" w:sz="0" w:space="0" w:color="auto" w:frame="1"/>
        </w:rPr>
        <w:t>This c</w:t>
      </w:r>
      <w:r w:rsidR="0015612E" w:rsidRPr="00852AD5">
        <w:rPr>
          <w:rFonts w:asciiTheme="majorBidi" w:hAnsiTheme="majorBidi" w:cstheme="majorBidi"/>
          <w:color w:val="201F1E"/>
          <w:bdr w:val="none" w:sz="0" w:space="0" w:color="auto" w:frame="1"/>
        </w:rPr>
        <w:t>ourse must be taken on a letter grade basis.</w:t>
      </w:r>
      <w:r w:rsidR="000540C8" w:rsidRPr="00852AD5">
        <w:rPr>
          <w:rFonts w:asciiTheme="majorBidi" w:hAnsiTheme="majorBidi" w:cstheme="majorBidi"/>
          <w:color w:val="201F1E"/>
        </w:rPr>
        <w:t xml:space="preserve"> </w:t>
      </w:r>
      <w:r w:rsidR="0015612E" w:rsidRPr="00852AD5">
        <w:rPr>
          <w:rFonts w:asciiTheme="majorBidi" w:hAnsiTheme="majorBidi" w:cstheme="majorBidi"/>
          <w:color w:val="201F1E"/>
          <w:bdr w:val="none" w:sz="0" w:space="0" w:color="auto" w:frame="1"/>
        </w:rPr>
        <w:t xml:space="preserve">Candidates for the master’s degree must have a cumulative GPA of at least 3.00 in core courses. Per University policy, any graduate student whose cumulative grade point average falls below 3.00 at the end of any semester will be placed on scholastic warning status, and must bring </w:t>
      </w:r>
      <w:r>
        <w:rPr>
          <w:rFonts w:asciiTheme="majorBidi" w:hAnsiTheme="majorBidi" w:cstheme="majorBidi"/>
          <w:color w:val="201F1E"/>
          <w:bdr w:val="none" w:sz="0" w:space="0" w:color="auto" w:frame="1"/>
        </w:rPr>
        <w:t>their</w:t>
      </w:r>
      <w:r w:rsidR="0015612E" w:rsidRPr="00852AD5">
        <w:rPr>
          <w:rFonts w:asciiTheme="majorBidi" w:hAnsiTheme="majorBidi" w:cstheme="majorBidi"/>
          <w:color w:val="201F1E"/>
          <w:bdr w:val="none" w:sz="0" w:space="0" w:color="auto" w:frame="1"/>
        </w:rPr>
        <w:t xml:space="preserve"> cumulative GPA to at least 3.00 during the next semester, or be subject to dismissal from the program.</w:t>
      </w:r>
    </w:p>
    <w:p w14:paraId="13D19BFC" w14:textId="532A4A16" w:rsidR="000540C8" w:rsidRPr="00852AD5" w:rsidRDefault="0015612E" w:rsidP="00273BEE">
      <w:pPr>
        <w:rPr>
          <w:rFonts w:asciiTheme="majorBidi" w:hAnsiTheme="majorBidi" w:cstheme="majorBidi"/>
          <w:color w:val="201F1E"/>
        </w:rPr>
      </w:pPr>
      <w:r w:rsidRPr="00852AD5">
        <w:rPr>
          <w:rFonts w:asciiTheme="majorBidi" w:hAnsiTheme="majorBidi" w:cstheme="majorBidi"/>
          <w:color w:val="201F1E"/>
          <w:bdr w:val="none" w:sz="0" w:space="0" w:color="auto" w:frame="1"/>
        </w:rPr>
        <w:t> </w:t>
      </w:r>
    </w:p>
    <w:p w14:paraId="5A68C2CB" w14:textId="580A5FBF" w:rsidR="0015612E" w:rsidRPr="00852AD5" w:rsidRDefault="0015612E" w:rsidP="0015612E">
      <w:pPr>
        <w:rPr>
          <w:rFonts w:asciiTheme="majorBidi" w:hAnsiTheme="majorBidi" w:cstheme="majorBidi"/>
          <w:color w:val="201F1E"/>
        </w:rPr>
      </w:pPr>
      <w:r w:rsidRPr="00852AD5">
        <w:rPr>
          <w:rFonts w:asciiTheme="majorBidi" w:hAnsiTheme="majorBidi" w:cstheme="majorBidi"/>
          <w:color w:val="201F1E"/>
          <w:bdr w:val="none" w:sz="0" w:space="0" w:color="auto" w:frame="1"/>
        </w:rPr>
        <w:t xml:space="preserve">Official grade point averages are calculated by the </w:t>
      </w:r>
      <w:r w:rsidR="00CA5FF6">
        <w:rPr>
          <w:rFonts w:asciiTheme="majorBidi" w:hAnsiTheme="majorBidi" w:cstheme="majorBidi"/>
          <w:color w:val="201F1E"/>
          <w:bdr w:val="none" w:sz="0" w:space="0" w:color="auto" w:frame="1"/>
        </w:rPr>
        <w:t>UT R</w:t>
      </w:r>
      <w:r w:rsidRPr="00852AD5">
        <w:rPr>
          <w:rFonts w:asciiTheme="majorBidi" w:hAnsiTheme="majorBidi" w:cstheme="majorBidi"/>
          <w:color w:val="201F1E"/>
          <w:bdr w:val="none" w:sz="0" w:space="0" w:color="auto" w:frame="1"/>
        </w:rPr>
        <w:t xml:space="preserve">egistrar and appear on the student’s academic record maintained by the </w:t>
      </w:r>
      <w:r w:rsidR="00CA5FF6">
        <w:rPr>
          <w:rFonts w:asciiTheme="majorBidi" w:hAnsiTheme="majorBidi" w:cstheme="majorBidi"/>
          <w:color w:val="201F1E"/>
          <w:bdr w:val="none" w:sz="0" w:space="0" w:color="auto" w:frame="1"/>
        </w:rPr>
        <w:t>R</w:t>
      </w:r>
      <w:r w:rsidRPr="00852AD5">
        <w:rPr>
          <w:rFonts w:asciiTheme="majorBidi" w:hAnsiTheme="majorBidi" w:cstheme="majorBidi"/>
          <w:color w:val="201F1E"/>
          <w:bdr w:val="none" w:sz="0" w:space="0" w:color="auto" w:frame="1"/>
        </w:rPr>
        <w:t xml:space="preserve">egistrar. </w:t>
      </w:r>
    </w:p>
    <w:p w14:paraId="20BE134E" w14:textId="48A92BEA" w:rsidR="00DA2425" w:rsidRPr="00852AD5" w:rsidRDefault="00DA2425" w:rsidP="00170F9F">
      <w:pPr>
        <w:pStyle w:val="Heading1"/>
      </w:pPr>
      <w:r w:rsidRPr="00852AD5">
        <w:lastRenderedPageBreak/>
        <w:t>Learning and Growth</w:t>
      </w:r>
    </w:p>
    <w:p w14:paraId="36F74FE8" w14:textId="59D6BAA9" w:rsidR="00DA2425" w:rsidRPr="00852AD5" w:rsidRDefault="00DA2425" w:rsidP="00DA2425">
      <w:p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 xml:space="preserve">Throughout the course, your learning and growth in theory and practice of the </w:t>
      </w:r>
      <w:r w:rsidR="00CA5FF6">
        <w:rPr>
          <w:rFonts w:asciiTheme="majorBidi" w:hAnsiTheme="majorBidi" w:cstheme="majorBidi"/>
          <w:color w:val="000000"/>
        </w:rPr>
        <w:t>information security and privacy</w:t>
      </w:r>
      <w:r w:rsidRPr="00852AD5">
        <w:rPr>
          <w:rFonts w:asciiTheme="majorBidi" w:hAnsiTheme="majorBidi" w:cstheme="majorBidi"/>
          <w:color w:val="000000"/>
        </w:rPr>
        <w:t xml:space="preserve"> profession are important. We all need accommodations because we all learn differently, and the current pandemic makes accommodations all the more important. If there are aspects of this course that prevent you from learning or exclude you, please let </w:t>
      </w:r>
      <w:r w:rsidR="00A578C7">
        <w:rPr>
          <w:rFonts w:asciiTheme="majorBidi" w:hAnsiTheme="majorBidi" w:cstheme="majorBidi"/>
          <w:color w:val="000000"/>
        </w:rPr>
        <w:t>Professor Kellison, as Lead Instructor,</w:t>
      </w:r>
      <w:r w:rsidRPr="00852AD5">
        <w:rPr>
          <w:rFonts w:asciiTheme="majorBidi" w:hAnsiTheme="majorBidi" w:cstheme="majorBidi"/>
          <w:color w:val="000000"/>
        </w:rPr>
        <w:t xml:space="preserve"> know as soon as possible. Together we will develop strategies to meet your needs and </w:t>
      </w:r>
      <w:r w:rsidR="00CA5FF6">
        <w:rPr>
          <w:rFonts w:asciiTheme="majorBidi" w:hAnsiTheme="majorBidi" w:cstheme="majorBidi"/>
          <w:color w:val="000000"/>
        </w:rPr>
        <w:t xml:space="preserve">the </w:t>
      </w:r>
      <w:r w:rsidRPr="00852AD5">
        <w:rPr>
          <w:rFonts w:asciiTheme="majorBidi" w:hAnsiTheme="majorBidi" w:cstheme="majorBidi"/>
          <w:color w:val="000000"/>
        </w:rPr>
        <w:t xml:space="preserve">course requirements. </w:t>
      </w:r>
      <w:r w:rsidR="00A578C7">
        <w:rPr>
          <w:rFonts w:asciiTheme="majorBidi" w:hAnsiTheme="majorBidi" w:cstheme="majorBidi"/>
          <w:color w:val="000000"/>
        </w:rPr>
        <w:t>We</w:t>
      </w:r>
      <w:r w:rsidRPr="00852AD5">
        <w:rPr>
          <w:rFonts w:asciiTheme="majorBidi" w:hAnsiTheme="majorBidi" w:cstheme="majorBidi"/>
          <w:color w:val="000000"/>
        </w:rPr>
        <w:t xml:space="preserve"> also encourage you to reach out to the resources available through UT</w:t>
      </w:r>
      <w:r w:rsidR="00CA5FF6">
        <w:rPr>
          <w:rFonts w:asciiTheme="majorBidi" w:hAnsiTheme="majorBidi" w:cstheme="majorBidi"/>
          <w:color w:val="000000"/>
        </w:rPr>
        <w:t xml:space="preserve"> and the MSISP program</w:t>
      </w:r>
      <w:r w:rsidRPr="00852AD5">
        <w:rPr>
          <w:rFonts w:asciiTheme="majorBidi" w:hAnsiTheme="majorBidi" w:cstheme="majorBidi"/>
          <w:color w:val="000000"/>
        </w:rPr>
        <w:t xml:space="preserve">. Many are </w:t>
      </w:r>
      <w:r w:rsidR="00CA5FF6">
        <w:rPr>
          <w:rFonts w:asciiTheme="majorBidi" w:hAnsiTheme="majorBidi" w:cstheme="majorBidi"/>
          <w:color w:val="000000"/>
        </w:rPr>
        <w:t xml:space="preserve">included </w:t>
      </w:r>
      <w:r w:rsidRPr="00852AD5">
        <w:rPr>
          <w:rFonts w:asciiTheme="majorBidi" w:hAnsiTheme="majorBidi" w:cstheme="majorBidi"/>
          <w:color w:val="000000"/>
        </w:rPr>
        <w:t>on this syllabus.</w:t>
      </w:r>
    </w:p>
    <w:p w14:paraId="48C15671" w14:textId="77777777" w:rsidR="00DA2425" w:rsidRPr="00852AD5" w:rsidRDefault="00DA2425" w:rsidP="00170F9F">
      <w:pPr>
        <w:pStyle w:val="Heading1"/>
      </w:pPr>
      <w:r w:rsidRPr="00852AD5">
        <w:t>Academic Integrity</w:t>
      </w:r>
    </w:p>
    <w:p w14:paraId="65297F73" w14:textId="4F0FBAA1" w:rsidR="00DA2425" w:rsidRPr="00852AD5" w:rsidRDefault="00DA2425" w:rsidP="00DA2425">
      <w:p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 xml:space="preserve">Each student is expected to abide by the UT Honor Code: </w:t>
      </w:r>
      <w:r w:rsidR="00A578C7">
        <w:rPr>
          <w:rFonts w:asciiTheme="majorBidi" w:hAnsiTheme="majorBidi" w:cstheme="majorBidi"/>
          <w:color w:val="000000"/>
        </w:rPr>
        <w:t>“</w:t>
      </w:r>
      <w:r w:rsidRPr="00852AD5">
        <w:rPr>
          <w:rFonts w:asciiTheme="majorBidi" w:hAnsiTheme="majorBidi" w:cstheme="majorBidi"/>
          <w:color w:val="000000"/>
        </w:rPr>
        <w:t>As a student of The University of Texas at Austin, I shall abide by the core values of the University and uphold academic integrity.'' If you use words or ideas that are not your own (or that you have used in a previous class), you must cite your sources. Otherwise, you might be in violation of the university's academic integrity policies. Please see</w:t>
      </w:r>
      <w:bookmarkStart w:id="1" w:name="tex2html21"/>
      <w:r w:rsidR="00A578C7">
        <w:rPr>
          <w:rFonts w:asciiTheme="majorBidi" w:hAnsiTheme="majorBidi" w:cstheme="majorBidi"/>
          <w:color w:val="000000"/>
        </w:rPr>
        <w:t xml:space="preserve"> </w:t>
      </w:r>
      <w:hyperlink r:id="rId11" w:history="1">
        <w:r w:rsidRPr="00852AD5">
          <w:rPr>
            <w:rFonts w:asciiTheme="majorBidi" w:hAnsiTheme="majorBidi" w:cstheme="majorBidi"/>
            <w:color w:val="0000FF"/>
            <w:u w:val="single"/>
          </w:rPr>
          <w:t>Student Conduct and Academic Integrity</w:t>
        </w:r>
      </w:hyperlink>
      <w:bookmarkEnd w:id="1"/>
      <w:r w:rsidRPr="00852AD5">
        <w:rPr>
          <w:rFonts w:asciiTheme="majorBidi" w:hAnsiTheme="majorBidi" w:cstheme="majorBidi"/>
          <w:color w:val="000000"/>
        </w:rPr>
        <w:t>.</w:t>
      </w:r>
    </w:p>
    <w:p w14:paraId="040B479B" w14:textId="77777777" w:rsidR="00DA2425" w:rsidRPr="00852AD5" w:rsidRDefault="00DA2425" w:rsidP="00170F9F">
      <w:pPr>
        <w:pStyle w:val="Heading1"/>
      </w:pPr>
      <w:r w:rsidRPr="00852AD5">
        <w:t>Use of Electronics</w:t>
      </w:r>
    </w:p>
    <w:p w14:paraId="3FC6BD35" w14:textId="77777777" w:rsidR="00DA2425" w:rsidRPr="00852AD5" w:rsidRDefault="00DA2425" w:rsidP="00DA2425">
      <w:p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To help you connect the pieces of the class together, please focus the use of electronics on the content in lecture and laboratory.</w:t>
      </w:r>
    </w:p>
    <w:p w14:paraId="46556110" w14:textId="77777777" w:rsidR="00DA2425" w:rsidRPr="00852AD5" w:rsidRDefault="00DA2425" w:rsidP="00170F9F">
      <w:pPr>
        <w:pStyle w:val="Heading1"/>
      </w:pPr>
      <w:r w:rsidRPr="00852AD5">
        <w:t>Video Recordings</w:t>
      </w:r>
    </w:p>
    <w:p w14:paraId="54796F3D" w14:textId="5881CFAA" w:rsidR="00DA2425" w:rsidRPr="00852AD5" w:rsidRDefault="00DA2425" w:rsidP="00DA2425">
      <w:p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Video recording of class activities are reserved for students and TAs in this class only for educational purposes and are protected by </w:t>
      </w:r>
      <w:bookmarkStart w:id="2" w:name="tex2html22"/>
      <w:r w:rsidRPr="00852AD5">
        <w:rPr>
          <w:rFonts w:asciiTheme="majorBidi" w:hAnsiTheme="majorBidi" w:cstheme="majorBidi"/>
          <w:color w:val="000000"/>
        </w:rPr>
        <w:fldChar w:fldCharType="begin"/>
      </w:r>
      <w:r w:rsidRPr="00852AD5">
        <w:rPr>
          <w:rFonts w:asciiTheme="majorBidi" w:hAnsiTheme="majorBidi" w:cstheme="majorBidi"/>
          <w:color w:val="000000"/>
        </w:rPr>
        <w:instrText xml:space="preserve"> HYPERLINK "https://registrar.utexas.edu/staff/ferpa" </w:instrText>
      </w:r>
      <w:r w:rsidRPr="00852AD5">
        <w:rPr>
          <w:rFonts w:asciiTheme="majorBidi" w:hAnsiTheme="majorBidi" w:cstheme="majorBidi"/>
          <w:color w:val="000000"/>
        </w:rPr>
        <w:fldChar w:fldCharType="separate"/>
      </w:r>
      <w:r w:rsidRPr="00852AD5">
        <w:rPr>
          <w:rFonts w:asciiTheme="majorBidi" w:hAnsiTheme="majorBidi" w:cstheme="majorBidi"/>
          <w:color w:val="0000FF"/>
          <w:u w:val="single"/>
        </w:rPr>
        <w:t>FERPA</w:t>
      </w:r>
      <w:r w:rsidRPr="00852AD5">
        <w:rPr>
          <w:rFonts w:asciiTheme="majorBidi" w:hAnsiTheme="majorBidi" w:cstheme="majorBidi"/>
          <w:color w:val="000000"/>
        </w:rPr>
        <w:fldChar w:fldCharType="end"/>
      </w:r>
      <w:bookmarkEnd w:id="2"/>
      <w:r w:rsidRPr="00852AD5">
        <w:rPr>
          <w:rFonts w:asciiTheme="majorBidi" w:hAnsiTheme="majorBidi" w:cstheme="majorBidi"/>
          <w:color w:val="000000"/>
        </w:rPr>
        <w:t> laws if any students are identifiable in the video. Video recordings should not be shared outside the class in any form. Students violating this university policy could face misconduct proceedings.</w:t>
      </w:r>
    </w:p>
    <w:p w14:paraId="29380E92" w14:textId="77777777" w:rsidR="00DA2425" w:rsidRPr="00852AD5" w:rsidRDefault="00DA2425" w:rsidP="00170F9F">
      <w:pPr>
        <w:pStyle w:val="Heading1"/>
      </w:pPr>
      <w:r w:rsidRPr="00852AD5">
        <w:t>Students with Disabilities</w:t>
      </w:r>
    </w:p>
    <w:p w14:paraId="6693ACFD" w14:textId="131B938E" w:rsidR="00DA2425" w:rsidRPr="00852AD5" w:rsidRDefault="00DA2425" w:rsidP="00DA2425">
      <w:p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 xml:space="preserve">The university is committed to creating an accessible and inclusive learning environment consistent with university policy and federal and state law. Please let </w:t>
      </w:r>
      <w:r w:rsidR="00A578C7">
        <w:rPr>
          <w:rFonts w:asciiTheme="majorBidi" w:hAnsiTheme="majorBidi" w:cstheme="majorBidi"/>
          <w:color w:val="000000"/>
        </w:rPr>
        <w:t>Professor Kellison</w:t>
      </w:r>
      <w:r w:rsidRPr="00852AD5">
        <w:rPr>
          <w:rFonts w:asciiTheme="majorBidi" w:hAnsiTheme="majorBidi" w:cstheme="majorBidi"/>
          <w:color w:val="000000"/>
        </w:rPr>
        <w:t xml:space="preserve"> know if you experience any barriers to learning so I can work with you to ensure you have equal opportunity to participate fully in this course. If you are a student with a disability, or think you may have a disability, and need accommodations please contact </w:t>
      </w:r>
      <w:bookmarkStart w:id="3" w:name="tex2html26"/>
      <w:r w:rsidRPr="00852AD5">
        <w:rPr>
          <w:rFonts w:asciiTheme="majorBidi" w:hAnsiTheme="majorBidi" w:cstheme="majorBidi"/>
          <w:color w:val="000000"/>
        </w:rPr>
        <w:fldChar w:fldCharType="begin"/>
      </w:r>
      <w:r w:rsidRPr="00852AD5">
        <w:rPr>
          <w:rFonts w:asciiTheme="majorBidi" w:hAnsiTheme="majorBidi" w:cstheme="majorBidi"/>
          <w:color w:val="000000"/>
        </w:rPr>
        <w:instrText xml:space="preserve"> HYPERLINK "https://diversity.utexas.edu/disability/" </w:instrText>
      </w:r>
      <w:r w:rsidRPr="00852AD5">
        <w:rPr>
          <w:rFonts w:asciiTheme="majorBidi" w:hAnsiTheme="majorBidi" w:cstheme="majorBidi"/>
          <w:color w:val="000000"/>
        </w:rPr>
        <w:fldChar w:fldCharType="separate"/>
      </w:r>
      <w:r w:rsidRPr="00852AD5">
        <w:rPr>
          <w:rFonts w:asciiTheme="majorBidi" w:hAnsiTheme="majorBidi" w:cstheme="majorBidi"/>
          <w:color w:val="0000FF"/>
          <w:u w:val="single"/>
        </w:rPr>
        <w:t>Services for Students with Disabilities</w:t>
      </w:r>
      <w:r w:rsidRPr="00852AD5">
        <w:rPr>
          <w:rFonts w:asciiTheme="majorBidi" w:hAnsiTheme="majorBidi" w:cstheme="majorBidi"/>
          <w:color w:val="000000"/>
        </w:rPr>
        <w:fldChar w:fldCharType="end"/>
      </w:r>
      <w:bookmarkEnd w:id="3"/>
      <w:r w:rsidRPr="00852AD5">
        <w:rPr>
          <w:rFonts w:asciiTheme="majorBidi" w:hAnsiTheme="majorBidi" w:cstheme="majorBidi"/>
          <w:color w:val="000000"/>
        </w:rPr>
        <w:t> (SSD). Here are some </w:t>
      </w:r>
      <w:bookmarkStart w:id="4" w:name="tex2html27"/>
      <w:r w:rsidRPr="00852AD5">
        <w:rPr>
          <w:rFonts w:asciiTheme="majorBidi" w:hAnsiTheme="majorBidi" w:cstheme="majorBidi"/>
          <w:color w:val="000000"/>
        </w:rPr>
        <w:fldChar w:fldCharType="begin"/>
      </w:r>
      <w:r w:rsidRPr="00852AD5">
        <w:rPr>
          <w:rFonts w:asciiTheme="majorBidi" w:hAnsiTheme="majorBidi" w:cstheme="majorBidi"/>
          <w:color w:val="000000"/>
        </w:rPr>
        <w:instrText xml:space="preserve"> HYPERLINK "https://diversity.utexas.edu/disability/about-disabilities/" </w:instrText>
      </w:r>
      <w:r w:rsidRPr="00852AD5">
        <w:rPr>
          <w:rFonts w:asciiTheme="majorBidi" w:hAnsiTheme="majorBidi" w:cstheme="majorBidi"/>
          <w:color w:val="000000"/>
        </w:rPr>
        <w:fldChar w:fldCharType="separate"/>
      </w:r>
      <w:r w:rsidRPr="00852AD5">
        <w:rPr>
          <w:rFonts w:asciiTheme="majorBidi" w:hAnsiTheme="majorBidi" w:cstheme="majorBidi"/>
          <w:color w:val="0000FF"/>
          <w:u w:val="single"/>
        </w:rPr>
        <w:t>examples</w:t>
      </w:r>
      <w:r w:rsidRPr="00852AD5">
        <w:rPr>
          <w:rFonts w:asciiTheme="majorBidi" w:hAnsiTheme="majorBidi" w:cstheme="majorBidi"/>
          <w:color w:val="000000"/>
        </w:rPr>
        <w:fldChar w:fldCharType="end"/>
      </w:r>
      <w:bookmarkEnd w:id="4"/>
      <w:r w:rsidRPr="00852AD5">
        <w:rPr>
          <w:rFonts w:asciiTheme="majorBidi" w:hAnsiTheme="majorBidi" w:cstheme="majorBidi"/>
          <w:color w:val="000000"/>
        </w:rPr>
        <w:t> of the types of diagnoses and conditions that can be considered disabilities:</w:t>
      </w:r>
      <w:bookmarkStart w:id="5" w:name="tex2html28"/>
      <w:r w:rsidR="00671196">
        <w:rPr>
          <w:rFonts w:asciiTheme="majorBidi" w:hAnsiTheme="majorBidi" w:cstheme="majorBidi"/>
          <w:color w:val="000000"/>
        </w:rPr>
        <w:t xml:space="preserve"> </w:t>
      </w:r>
      <w:hyperlink r:id="rId12" w:history="1">
        <w:r w:rsidRPr="00852AD5">
          <w:rPr>
            <w:rFonts w:asciiTheme="majorBidi" w:hAnsiTheme="majorBidi" w:cstheme="majorBidi"/>
            <w:color w:val="0000FF"/>
            <w:u w:val="single"/>
          </w:rPr>
          <w:t>Attention-Deficit/Hyperactivity Disorders (ADHD)</w:t>
        </w:r>
      </w:hyperlink>
      <w:bookmarkEnd w:id="5"/>
      <w:r w:rsidRPr="00852AD5">
        <w:rPr>
          <w:rFonts w:asciiTheme="majorBidi" w:hAnsiTheme="majorBidi" w:cstheme="majorBidi"/>
          <w:color w:val="000000"/>
        </w:rPr>
        <w:t>, </w:t>
      </w:r>
      <w:bookmarkStart w:id="6" w:name="tex2html29"/>
      <w:r w:rsidRPr="00852AD5">
        <w:rPr>
          <w:rFonts w:asciiTheme="majorBidi" w:hAnsiTheme="majorBidi" w:cstheme="majorBidi"/>
          <w:color w:val="000000"/>
        </w:rPr>
        <w:fldChar w:fldCharType="begin"/>
      </w:r>
      <w:r w:rsidRPr="00852AD5">
        <w:rPr>
          <w:rFonts w:asciiTheme="majorBidi" w:hAnsiTheme="majorBidi" w:cstheme="majorBidi"/>
          <w:color w:val="000000"/>
        </w:rPr>
        <w:instrText xml:space="preserve"> HYPERLINK "https://diversity.utexas.edu/disability/students-with-austism-spectrum-disorders/" </w:instrText>
      </w:r>
      <w:r w:rsidRPr="00852AD5">
        <w:rPr>
          <w:rFonts w:asciiTheme="majorBidi" w:hAnsiTheme="majorBidi" w:cstheme="majorBidi"/>
          <w:color w:val="000000"/>
        </w:rPr>
        <w:fldChar w:fldCharType="separate"/>
      </w:r>
      <w:r w:rsidRPr="00852AD5">
        <w:rPr>
          <w:rFonts w:asciiTheme="majorBidi" w:hAnsiTheme="majorBidi" w:cstheme="majorBidi"/>
          <w:color w:val="0000FF"/>
          <w:u w:val="single"/>
        </w:rPr>
        <w:t>Autism</w:t>
      </w:r>
      <w:r w:rsidRPr="00852AD5">
        <w:rPr>
          <w:rFonts w:asciiTheme="majorBidi" w:hAnsiTheme="majorBidi" w:cstheme="majorBidi"/>
          <w:color w:val="000000"/>
        </w:rPr>
        <w:fldChar w:fldCharType="end"/>
      </w:r>
      <w:bookmarkEnd w:id="6"/>
      <w:r w:rsidRPr="00852AD5">
        <w:rPr>
          <w:rFonts w:asciiTheme="majorBidi" w:hAnsiTheme="majorBidi" w:cstheme="majorBidi"/>
          <w:color w:val="000000"/>
        </w:rPr>
        <w:t>, </w:t>
      </w:r>
      <w:bookmarkStart w:id="7" w:name="tex2html30"/>
      <w:r w:rsidRPr="00852AD5">
        <w:rPr>
          <w:rFonts w:asciiTheme="majorBidi" w:hAnsiTheme="majorBidi" w:cstheme="majorBidi"/>
          <w:color w:val="000000"/>
        </w:rPr>
        <w:fldChar w:fldCharType="begin"/>
      </w:r>
      <w:r w:rsidRPr="00852AD5">
        <w:rPr>
          <w:rFonts w:asciiTheme="majorBidi" w:hAnsiTheme="majorBidi" w:cstheme="majorBidi"/>
          <w:color w:val="000000"/>
        </w:rPr>
        <w:instrText xml:space="preserve"> HYPERLINK "https://diversity.utexas.edu/disability/visual-impairments/" </w:instrText>
      </w:r>
      <w:r w:rsidRPr="00852AD5">
        <w:rPr>
          <w:rFonts w:asciiTheme="majorBidi" w:hAnsiTheme="majorBidi" w:cstheme="majorBidi"/>
          <w:color w:val="000000"/>
        </w:rPr>
        <w:fldChar w:fldCharType="separate"/>
      </w:r>
      <w:r w:rsidRPr="00852AD5">
        <w:rPr>
          <w:rFonts w:asciiTheme="majorBidi" w:hAnsiTheme="majorBidi" w:cstheme="majorBidi"/>
          <w:color w:val="0000FF"/>
          <w:u w:val="single"/>
        </w:rPr>
        <w:t>Blind &amp; Visually Impaired</w:t>
      </w:r>
      <w:r w:rsidRPr="00852AD5">
        <w:rPr>
          <w:rFonts w:asciiTheme="majorBidi" w:hAnsiTheme="majorBidi" w:cstheme="majorBidi"/>
          <w:color w:val="000000"/>
        </w:rPr>
        <w:fldChar w:fldCharType="end"/>
      </w:r>
      <w:bookmarkEnd w:id="7"/>
      <w:r w:rsidRPr="00852AD5">
        <w:rPr>
          <w:rFonts w:asciiTheme="majorBidi" w:hAnsiTheme="majorBidi" w:cstheme="majorBidi"/>
          <w:color w:val="000000"/>
        </w:rPr>
        <w:t>, </w:t>
      </w:r>
      <w:bookmarkStart w:id="8" w:name="tex2html31"/>
      <w:r w:rsidRPr="00852AD5">
        <w:rPr>
          <w:rFonts w:asciiTheme="majorBidi" w:hAnsiTheme="majorBidi" w:cstheme="majorBidi"/>
          <w:color w:val="000000"/>
        </w:rPr>
        <w:fldChar w:fldCharType="begin"/>
      </w:r>
      <w:r w:rsidRPr="00852AD5">
        <w:rPr>
          <w:rFonts w:asciiTheme="majorBidi" w:hAnsiTheme="majorBidi" w:cstheme="majorBidi"/>
          <w:color w:val="000000"/>
        </w:rPr>
        <w:instrText xml:space="preserve"> HYPERLINK "https://diversity.utexas.edu/disability/traumatic-brain-injuries/" </w:instrText>
      </w:r>
      <w:r w:rsidRPr="00852AD5">
        <w:rPr>
          <w:rFonts w:asciiTheme="majorBidi" w:hAnsiTheme="majorBidi" w:cstheme="majorBidi"/>
          <w:color w:val="000000"/>
        </w:rPr>
        <w:fldChar w:fldCharType="separate"/>
      </w:r>
      <w:r w:rsidRPr="00852AD5">
        <w:rPr>
          <w:rFonts w:asciiTheme="majorBidi" w:hAnsiTheme="majorBidi" w:cstheme="majorBidi"/>
          <w:color w:val="0000FF"/>
          <w:u w:val="single"/>
        </w:rPr>
        <w:t>Brain Injuries</w:t>
      </w:r>
      <w:r w:rsidRPr="00852AD5">
        <w:rPr>
          <w:rFonts w:asciiTheme="majorBidi" w:hAnsiTheme="majorBidi" w:cstheme="majorBidi"/>
          <w:color w:val="000000"/>
        </w:rPr>
        <w:fldChar w:fldCharType="end"/>
      </w:r>
      <w:bookmarkEnd w:id="8"/>
      <w:r w:rsidRPr="00852AD5">
        <w:rPr>
          <w:rFonts w:asciiTheme="majorBidi" w:hAnsiTheme="majorBidi" w:cstheme="majorBidi"/>
          <w:color w:val="000000"/>
        </w:rPr>
        <w:t>, </w:t>
      </w:r>
      <w:bookmarkStart w:id="9" w:name="tex2html32"/>
      <w:r w:rsidRPr="00852AD5">
        <w:rPr>
          <w:rFonts w:asciiTheme="majorBidi" w:hAnsiTheme="majorBidi" w:cstheme="majorBidi"/>
          <w:color w:val="000000"/>
        </w:rPr>
        <w:fldChar w:fldCharType="begin"/>
      </w:r>
      <w:r w:rsidRPr="00852AD5">
        <w:rPr>
          <w:rFonts w:asciiTheme="majorBidi" w:hAnsiTheme="majorBidi" w:cstheme="majorBidi"/>
          <w:color w:val="000000"/>
        </w:rPr>
        <w:instrText xml:space="preserve"> HYPERLINK "https://diversity.utexas.edu/disability/deaf-and-hard-of-hearing/" </w:instrText>
      </w:r>
      <w:r w:rsidRPr="00852AD5">
        <w:rPr>
          <w:rFonts w:asciiTheme="majorBidi" w:hAnsiTheme="majorBidi" w:cstheme="majorBidi"/>
          <w:color w:val="000000"/>
        </w:rPr>
        <w:fldChar w:fldCharType="separate"/>
      </w:r>
      <w:r w:rsidRPr="00852AD5">
        <w:rPr>
          <w:rFonts w:asciiTheme="majorBidi" w:hAnsiTheme="majorBidi" w:cstheme="majorBidi"/>
          <w:color w:val="0000FF"/>
          <w:u w:val="single"/>
        </w:rPr>
        <w:t>Deaf &amp; Hard of Hearing</w:t>
      </w:r>
      <w:r w:rsidRPr="00852AD5">
        <w:rPr>
          <w:rFonts w:asciiTheme="majorBidi" w:hAnsiTheme="majorBidi" w:cstheme="majorBidi"/>
          <w:color w:val="000000"/>
        </w:rPr>
        <w:fldChar w:fldCharType="end"/>
      </w:r>
      <w:bookmarkEnd w:id="9"/>
      <w:r w:rsidRPr="00852AD5">
        <w:rPr>
          <w:rFonts w:asciiTheme="majorBidi" w:hAnsiTheme="majorBidi" w:cstheme="majorBidi"/>
          <w:color w:val="000000"/>
        </w:rPr>
        <w:t>, </w:t>
      </w:r>
      <w:bookmarkStart w:id="10" w:name="tex2html33"/>
      <w:r w:rsidRPr="00852AD5">
        <w:rPr>
          <w:rFonts w:asciiTheme="majorBidi" w:hAnsiTheme="majorBidi" w:cstheme="majorBidi"/>
          <w:color w:val="000000"/>
        </w:rPr>
        <w:fldChar w:fldCharType="begin"/>
      </w:r>
      <w:r w:rsidRPr="00852AD5">
        <w:rPr>
          <w:rFonts w:asciiTheme="majorBidi" w:hAnsiTheme="majorBidi" w:cstheme="majorBidi"/>
          <w:color w:val="000000"/>
        </w:rPr>
        <w:instrText xml:space="preserve"> HYPERLINK "https://diversity.utexas.edu/disability/learning-disabilities/" </w:instrText>
      </w:r>
      <w:r w:rsidRPr="00852AD5">
        <w:rPr>
          <w:rFonts w:asciiTheme="majorBidi" w:hAnsiTheme="majorBidi" w:cstheme="majorBidi"/>
          <w:color w:val="000000"/>
        </w:rPr>
        <w:fldChar w:fldCharType="separate"/>
      </w:r>
      <w:r w:rsidRPr="00852AD5">
        <w:rPr>
          <w:rFonts w:asciiTheme="majorBidi" w:hAnsiTheme="majorBidi" w:cstheme="majorBidi"/>
          <w:color w:val="0000FF"/>
          <w:u w:val="single"/>
        </w:rPr>
        <w:t>Learning Disabilities</w:t>
      </w:r>
      <w:r w:rsidRPr="00852AD5">
        <w:rPr>
          <w:rFonts w:asciiTheme="majorBidi" w:hAnsiTheme="majorBidi" w:cstheme="majorBidi"/>
          <w:color w:val="000000"/>
        </w:rPr>
        <w:fldChar w:fldCharType="end"/>
      </w:r>
      <w:bookmarkEnd w:id="10"/>
      <w:r w:rsidRPr="00852AD5">
        <w:rPr>
          <w:rFonts w:asciiTheme="majorBidi" w:hAnsiTheme="majorBidi" w:cstheme="majorBidi"/>
          <w:color w:val="000000"/>
        </w:rPr>
        <w:t>, </w:t>
      </w:r>
      <w:bookmarkStart w:id="11" w:name="tex2html34"/>
      <w:r w:rsidRPr="00852AD5">
        <w:rPr>
          <w:rFonts w:asciiTheme="majorBidi" w:hAnsiTheme="majorBidi" w:cstheme="majorBidi"/>
          <w:color w:val="000000"/>
        </w:rPr>
        <w:fldChar w:fldCharType="begin"/>
      </w:r>
      <w:r w:rsidRPr="00852AD5">
        <w:rPr>
          <w:rFonts w:asciiTheme="majorBidi" w:hAnsiTheme="majorBidi" w:cstheme="majorBidi"/>
          <w:color w:val="000000"/>
        </w:rPr>
        <w:instrText xml:space="preserve"> HYPERLINK "https://diversity.utexas.edu/disability/medical-disabilities/" </w:instrText>
      </w:r>
      <w:r w:rsidRPr="00852AD5">
        <w:rPr>
          <w:rFonts w:asciiTheme="majorBidi" w:hAnsiTheme="majorBidi" w:cstheme="majorBidi"/>
          <w:color w:val="000000"/>
        </w:rPr>
        <w:fldChar w:fldCharType="separate"/>
      </w:r>
      <w:r w:rsidRPr="00852AD5">
        <w:rPr>
          <w:rFonts w:asciiTheme="majorBidi" w:hAnsiTheme="majorBidi" w:cstheme="majorBidi"/>
          <w:color w:val="0000FF"/>
          <w:u w:val="single"/>
        </w:rPr>
        <w:t>Medical Disabilities</w:t>
      </w:r>
      <w:r w:rsidRPr="00852AD5">
        <w:rPr>
          <w:rFonts w:asciiTheme="majorBidi" w:hAnsiTheme="majorBidi" w:cstheme="majorBidi"/>
          <w:color w:val="000000"/>
        </w:rPr>
        <w:fldChar w:fldCharType="end"/>
      </w:r>
      <w:bookmarkEnd w:id="11"/>
      <w:r w:rsidRPr="00852AD5">
        <w:rPr>
          <w:rFonts w:asciiTheme="majorBidi" w:hAnsiTheme="majorBidi" w:cstheme="majorBidi"/>
          <w:color w:val="000000"/>
        </w:rPr>
        <w:t>, </w:t>
      </w:r>
      <w:bookmarkStart w:id="12" w:name="tex2html35"/>
      <w:r w:rsidRPr="00852AD5">
        <w:rPr>
          <w:rFonts w:asciiTheme="majorBidi" w:hAnsiTheme="majorBidi" w:cstheme="majorBidi"/>
          <w:color w:val="000000"/>
        </w:rPr>
        <w:fldChar w:fldCharType="begin"/>
      </w:r>
      <w:r w:rsidRPr="00852AD5">
        <w:rPr>
          <w:rFonts w:asciiTheme="majorBidi" w:hAnsiTheme="majorBidi" w:cstheme="majorBidi"/>
          <w:color w:val="000000"/>
        </w:rPr>
        <w:instrText xml:space="preserve"> HYPERLINK "https://diversity.utexas.edu/disability/physical-disabilities/" </w:instrText>
      </w:r>
      <w:r w:rsidRPr="00852AD5">
        <w:rPr>
          <w:rFonts w:asciiTheme="majorBidi" w:hAnsiTheme="majorBidi" w:cstheme="majorBidi"/>
          <w:color w:val="000000"/>
        </w:rPr>
        <w:fldChar w:fldCharType="separate"/>
      </w:r>
      <w:r w:rsidRPr="00852AD5">
        <w:rPr>
          <w:rFonts w:asciiTheme="majorBidi" w:hAnsiTheme="majorBidi" w:cstheme="majorBidi"/>
          <w:color w:val="0000FF"/>
          <w:u w:val="single"/>
        </w:rPr>
        <w:t>Physical Disabilities</w:t>
      </w:r>
      <w:r w:rsidRPr="00852AD5">
        <w:rPr>
          <w:rFonts w:asciiTheme="majorBidi" w:hAnsiTheme="majorBidi" w:cstheme="majorBidi"/>
          <w:color w:val="000000"/>
        </w:rPr>
        <w:fldChar w:fldCharType="end"/>
      </w:r>
      <w:bookmarkEnd w:id="12"/>
      <w:r w:rsidRPr="00852AD5">
        <w:rPr>
          <w:rFonts w:asciiTheme="majorBidi" w:hAnsiTheme="majorBidi" w:cstheme="majorBidi"/>
          <w:color w:val="000000"/>
        </w:rPr>
        <w:t>,</w:t>
      </w:r>
      <w:bookmarkStart w:id="13" w:name="tex2html36"/>
      <w:r w:rsidR="00671196">
        <w:rPr>
          <w:rFonts w:asciiTheme="majorBidi" w:hAnsiTheme="majorBidi" w:cstheme="majorBidi"/>
          <w:color w:val="000000"/>
        </w:rPr>
        <w:t xml:space="preserve"> </w:t>
      </w:r>
      <w:hyperlink r:id="rId13" w:history="1">
        <w:r w:rsidRPr="00852AD5">
          <w:rPr>
            <w:rFonts w:asciiTheme="majorBidi" w:hAnsiTheme="majorBidi" w:cstheme="majorBidi"/>
            <w:color w:val="0000FF"/>
            <w:u w:val="single"/>
          </w:rPr>
          <w:t>Psychological Disabilities</w:t>
        </w:r>
      </w:hyperlink>
      <w:bookmarkEnd w:id="13"/>
      <w:r w:rsidRPr="00852AD5">
        <w:rPr>
          <w:rFonts w:asciiTheme="majorBidi" w:hAnsiTheme="majorBidi" w:cstheme="majorBidi"/>
          <w:color w:val="000000"/>
        </w:rPr>
        <w:t> and </w:t>
      </w:r>
      <w:bookmarkStart w:id="14" w:name="tex2html37"/>
      <w:r w:rsidRPr="00852AD5">
        <w:rPr>
          <w:rFonts w:asciiTheme="majorBidi" w:hAnsiTheme="majorBidi" w:cstheme="majorBidi"/>
          <w:color w:val="000000"/>
        </w:rPr>
        <w:fldChar w:fldCharType="begin"/>
      </w:r>
      <w:r w:rsidRPr="00852AD5">
        <w:rPr>
          <w:rFonts w:asciiTheme="majorBidi" w:hAnsiTheme="majorBidi" w:cstheme="majorBidi"/>
          <w:color w:val="000000"/>
        </w:rPr>
        <w:instrText xml:space="preserve"> HYPERLINK "https://diversity.utexas.edu/disability/temporary-disabilities/" </w:instrText>
      </w:r>
      <w:r w:rsidRPr="00852AD5">
        <w:rPr>
          <w:rFonts w:asciiTheme="majorBidi" w:hAnsiTheme="majorBidi" w:cstheme="majorBidi"/>
          <w:color w:val="000000"/>
        </w:rPr>
        <w:fldChar w:fldCharType="separate"/>
      </w:r>
      <w:r w:rsidRPr="00852AD5">
        <w:rPr>
          <w:rFonts w:asciiTheme="majorBidi" w:hAnsiTheme="majorBidi" w:cstheme="majorBidi"/>
          <w:color w:val="0000FF"/>
          <w:u w:val="single"/>
        </w:rPr>
        <w:t>Temporary Disabilities</w:t>
      </w:r>
      <w:r w:rsidRPr="00852AD5">
        <w:rPr>
          <w:rFonts w:asciiTheme="majorBidi" w:hAnsiTheme="majorBidi" w:cstheme="majorBidi"/>
          <w:color w:val="000000"/>
        </w:rPr>
        <w:fldChar w:fldCharType="end"/>
      </w:r>
      <w:bookmarkEnd w:id="14"/>
      <w:r w:rsidRPr="00852AD5">
        <w:rPr>
          <w:rFonts w:asciiTheme="majorBidi" w:hAnsiTheme="majorBidi" w:cstheme="majorBidi"/>
          <w:color w:val="000000"/>
        </w:rPr>
        <w:t>. Please refer to SSD's </w:t>
      </w:r>
      <w:bookmarkStart w:id="15" w:name="tex2html38"/>
      <w:r w:rsidRPr="00852AD5">
        <w:rPr>
          <w:rFonts w:asciiTheme="majorBidi" w:hAnsiTheme="majorBidi" w:cstheme="majorBidi"/>
          <w:color w:val="000000"/>
        </w:rPr>
        <w:fldChar w:fldCharType="begin"/>
      </w:r>
      <w:r w:rsidRPr="00852AD5">
        <w:rPr>
          <w:rFonts w:asciiTheme="majorBidi" w:hAnsiTheme="majorBidi" w:cstheme="majorBidi"/>
          <w:color w:val="000000"/>
        </w:rPr>
        <w:instrText xml:space="preserve"> HYPERLINK "https://diversity.utexas.edu/disability/" </w:instrText>
      </w:r>
      <w:r w:rsidRPr="00852AD5">
        <w:rPr>
          <w:rFonts w:asciiTheme="majorBidi" w:hAnsiTheme="majorBidi" w:cstheme="majorBidi"/>
          <w:color w:val="000000"/>
        </w:rPr>
        <w:fldChar w:fldCharType="separate"/>
      </w:r>
      <w:r w:rsidRPr="00852AD5">
        <w:rPr>
          <w:rFonts w:asciiTheme="majorBidi" w:hAnsiTheme="majorBidi" w:cstheme="majorBidi"/>
          <w:color w:val="0000FF"/>
          <w:u w:val="single"/>
        </w:rPr>
        <w:t>website</w:t>
      </w:r>
      <w:r w:rsidRPr="00852AD5">
        <w:rPr>
          <w:rFonts w:asciiTheme="majorBidi" w:hAnsiTheme="majorBidi" w:cstheme="majorBidi"/>
          <w:color w:val="000000"/>
        </w:rPr>
        <w:fldChar w:fldCharType="end"/>
      </w:r>
      <w:bookmarkEnd w:id="15"/>
      <w:r w:rsidRPr="00852AD5">
        <w:rPr>
          <w:rFonts w:asciiTheme="majorBidi" w:hAnsiTheme="majorBidi" w:cstheme="majorBidi"/>
          <w:color w:val="000000"/>
        </w:rPr>
        <w:t xml:space="preserve"> for contact and more information. If you are already registered with SSD, please deliver your Accommodation Letter to </w:t>
      </w:r>
      <w:r w:rsidR="00671196">
        <w:rPr>
          <w:rFonts w:asciiTheme="majorBidi" w:hAnsiTheme="majorBidi" w:cstheme="majorBidi"/>
          <w:color w:val="000000"/>
        </w:rPr>
        <w:t>Professor Kellison</w:t>
      </w:r>
      <w:r w:rsidRPr="00852AD5">
        <w:rPr>
          <w:rFonts w:asciiTheme="majorBidi" w:hAnsiTheme="majorBidi" w:cstheme="majorBidi"/>
          <w:color w:val="000000"/>
        </w:rPr>
        <w:t xml:space="preserve"> as early as possible in the semester so we can discuss your approved accommodations and needs in this course.</w:t>
      </w:r>
    </w:p>
    <w:p w14:paraId="4A604E5C" w14:textId="77777777" w:rsidR="00DA2425" w:rsidRPr="00852AD5" w:rsidRDefault="00DA2425" w:rsidP="00170F9F">
      <w:pPr>
        <w:pStyle w:val="Heading1"/>
      </w:pPr>
      <w:r w:rsidRPr="00852AD5">
        <w:lastRenderedPageBreak/>
        <w:t>Mental Health Counseling</w:t>
      </w:r>
    </w:p>
    <w:p w14:paraId="04614DF6" w14:textId="77777777" w:rsidR="00273BEE" w:rsidRPr="00852AD5" w:rsidRDefault="00DA2425" w:rsidP="00273BEE">
      <w:p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College can be stressful and sometimes we need a little help. Luckily, we have a wealth of resources and dedicated people ready to assist you, and treatment does work. The </w:t>
      </w:r>
      <w:bookmarkStart w:id="16" w:name="tex2html39"/>
      <w:r w:rsidRPr="00852AD5">
        <w:rPr>
          <w:rFonts w:asciiTheme="majorBidi" w:hAnsiTheme="majorBidi" w:cstheme="majorBidi"/>
          <w:color w:val="000000"/>
        </w:rPr>
        <w:fldChar w:fldCharType="begin"/>
      </w:r>
      <w:r w:rsidRPr="00852AD5">
        <w:rPr>
          <w:rFonts w:asciiTheme="majorBidi" w:hAnsiTheme="majorBidi" w:cstheme="majorBidi"/>
          <w:color w:val="000000"/>
        </w:rPr>
        <w:instrText xml:space="preserve"> HYPERLINK "https://cmhc.utexas.edu/index.html" </w:instrText>
      </w:r>
      <w:r w:rsidRPr="00852AD5">
        <w:rPr>
          <w:rFonts w:asciiTheme="majorBidi" w:hAnsiTheme="majorBidi" w:cstheme="majorBidi"/>
          <w:color w:val="000000"/>
        </w:rPr>
        <w:fldChar w:fldCharType="separate"/>
      </w:r>
      <w:r w:rsidRPr="00852AD5">
        <w:rPr>
          <w:rFonts w:asciiTheme="majorBidi" w:hAnsiTheme="majorBidi" w:cstheme="majorBidi"/>
          <w:color w:val="0000FF"/>
          <w:u w:val="single"/>
        </w:rPr>
        <w:t>Counseling and Mental Health Center</w:t>
      </w:r>
      <w:r w:rsidRPr="00852AD5">
        <w:rPr>
          <w:rFonts w:asciiTheme="majorBidi" w:hAnsiTheme="majorBidi" w:cstheme="majorBidi"/>
          <w:color w:val="000000"/>
        </w:rPr>
        <w:fldChar w:fldCharType="end"/>
      </w:r>
      <w:bookmarkEnd w:id="16"/>
      <w:r w:rsidRPr="00852AD5">
        <w:rPr>
          <w:rFonts w:asciiTheme="majorBidi" w:hAnsiTheme="majorBidi" w:cstheme="majorBidi"/>
          <w:color w:val="000000"/>
        </w:rPr>
        <w:t> provides counseling, psychiatric, consultation, and prevention services that facilitate academic and life goals and enhance personal growth and well-being. Counselors are available Monday-Friday 8am-5pm by phone (512-471-3515) and Zoom.</w:t>
      </w:r>
    </w:p>
    <w:p w14:paraId="0A3D91E5" w14:textId="6E350DDA" w:rsidR="00DA2425" w:rsidRPr="00852AD5" w:rsidRDefault="00DA2425" w:rsidP="00273BEE">
      <w:p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If you are experiencing a mental health crisis (e.g. depression or anxiety), please call the Mental Health Center Crisis line at 512-471-</w:t>
      </w:r>
      <w:proofErr w:type="gramStart"/>
      <w:r w:rsidRPr="00852AD5">
        <w:rPr>
          <w:rFonts w:asciiTheme="majorBidi" w:hAnsiTheme="majorBidi" w:cstheme="majorBidi"/>
          <w:color w:val="000000"/>
        </w:rPr>
        <w:t>CALL(</w:t>
      </w:r>
      <w:proofErr w:type="gramEnd"/>
      <w:r w:rsidRPr="00852AD5">
        <w:rPr>
          <w:rFonts w:asciiTheme="majorBidi" w:hAnsiTheme="majorBidi" w:cstheme="majorBidi"/>
          <w:color w:val="000000"/>
        </w:rPr>
        <w:t>2255). Call even if you aren't sure you're in a full-blown crisis, but sincerely need help. Staff are there to help you.</w:t>
      </w:r>
    </w:p>
    <w:p w14:paraId="7712A766" w14:textId="77777777" w:rsidR="00DA2425" w:rsidRPr="00852AD5" w:rsidRDefault="00DA2425" w:rsidP="00170F9F">
      <w:pPr>
        <w:pStyle w:val="Heading1"/>
      </w:pPr>
      <w:r w:rsidRPr="00852AD5">
        <w:t>Student Rights and Responsibilities</w:t>
      </w:r>
    </w:p>
    <w:p w14:paraId="21ACF083" w14:textId="77777777" w:rsidR="00DA2425" w:rsidRPr="00852AD5" w:rsidRDefault="00DA2425" w:rsidP="00DA2425">
      <w:pPr>
        <w:numPr>
          <w:ilvl w:val="0"/>
          <w:numId w:val="6"/>
        </w:num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You have a right to a learning environment that supports mental and physical wellness.</w:t>
      </w:r>
    </w:p>
    <w:p w14:paraId="0293A032" w14:textId="77777777" w:rsidR="00DA2425" w:rsidRPr="00852AD5" w:rsidRDefault="00DA2425" w:rsidP="00DA2425">
      <w:pPr>
        <w:numPr>
          <w:ilvl w:val="0"/>
          <w:numId w:val="6"/>
        </w:num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You have a right to respect.</w:t>
      </w:r>
    </w:p>
    <w:p w14:paraId="74754007" w14:textId="77777777" w:rsidR="00DA2425" w:rsidRPr="00852AD5" w:rsidRDefault="00DA2425" w:rsidP="00DA2425">
      <w:pPr>
        <w:numPr>
          <w:ilvl w:val="0"/>
          <w:numId w:val="6"/>
        </w:num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You have a right to be assessed and graded fairly.</w:t>
      </w:r>
    </w:p>
    <w:p w14:paraId="512650A5" w14:textId="77777777" w:rsidR="00DA2425" w:rsidRPr="00852AD5" w:rsidRDefault="00DA2425" w:rsidP="00DA2425">
      <w:pPr>
        <w:numPr>
          <w:ilvl w:val="0"/>
          <w:numId w:val="6"/>
        </w:num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You have a right to freedom of opinion and expression.</w:t>
      </w:r>
    </w:p>
    <w:p w14:paraId="45F09D56" w14:textId="77777777" w:rsidR="00DA2425" w:rsidRPr="00852AD5" w:rsidRDefault="00DA2425" w:rsidP="00DA2425">
      <w:pPr>
        <w:numPr>
          <w:ilvl w:val="0"/>
          <w:numId w:val="6"/>
        </w:num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You have a right to privacy and confidentiality.</w:t>
      </w:r>
    </w:p>
    <w:p w14:paraId="3AD0CC73" w14:textId="77777777" w:rsidR="00DA2425" w:rsidRPr="00852AD5" w:rsidRDefault="00DA2425" w:rsidP="00DA2425">
      <w:pPr>
        <w:numPr>
          <w:ilvl w:val="0"/>
          <w:numId w:val="6"/>
        </w:num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You have a right to meaningful and equal participation, to self-organize groups to improve your learning environment.</w:t>
      </w:r>
    </w:p>
    <w:p w14:paraId="77403A4E" w14:textId="77777777" w:rsidR="00DA2425" w:rsidRPr="00852AD5" w:rsidRDefault="00DA2425" w:rsidP="00DA2425">
      <w:pPr>
        <w:numPr>
          <w:ilvl w:val="0"/>
          <w:numId w:val="6"/>
        </w:num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You have a right to learn in an environment that is welcoming to all people. No student shall be isolated, excluded or diminished in any way.</w:t>
      </w:r>
    </w:p>
    <w:p w14:paraId="7609BD11" w14:textId="77777777" w:rsidR="00DA2425" w:rsidRPr="00852AD5" w:rsidRDefault="00DA2425" w:rsidP="00DA2425">
      <w:p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With these rights come responsibilities:</w:t>
      </w:r>
    </w:p>
    <w:p w14:paraId="6EA72365" w14:textId="77777777" w:rsidR="00DA2425" w:rsidRPr="00852AD5" w:rsidRDefault="00DA2425" w:rsidP="00DA2425">
      <w:pPr>
        <w:numPr>
          <w:ilvl w:val="0"/>
          <w:numId w:val="7"/>
        </w:num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You are responsible for taking care of yourself, managing your time, and communicating with the teaching team and others if things start to feel out of control or overwhelming.</w:t>
      </w:r>
    </w:p>
    <w:p w14:paraId="1D05BB07" w14:textId="77777777" w:rsidR="00DA2425" w:rsidRPr="00852AD5" w:rsidRDefault="00DA2425" w:rsidP="00DA2425">
      <w:pPr>
        <w:numPr>
          <w:ilvl w:val="0"/>
          <w:numId w:val="7"/>
        </w:num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You are responsible for acting in a way that is worthy of respect and always respectful of others.</w:t>
      </w:r>
    </w:p>
    <w:p w14:paraId="7FE4AD38" w14:textId="77777777" w:rsidR="00DA2425" w:rsidRPr="00852AD5" w:rsidRDefault="00DA2425" w:rsidP="00DA2425">
      <w:pPr>
        <w:numPr>
          <w:ilvl w:val="0"/>
          <w:numId w:val="7"/>
        </w:num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Your experience with this course is directly related to the quality of the energy that you bring to it, and your energy shapes the quality of your peers' experiences.</w:t>
      </w:r>
    </w:p>
    <w:p w14:paraId="02D62799" w14:textId="77777777" w:rsidR="00DA2425" w:rsidRPr="00852AD5" w:rsidRDefault="00DA2425" w:rsidP="00DA2425">
      <w:pPr>
        <w:numPr>
          <w:ilvl w:val="0"/>
          <w:numId w:val="7"/>
        </w:num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You are responsible for creating an inclusive environment and for speaking up when someone is excluded.</w:t>
      </w:r>
    </w:p>
    <w:p w14:paraId="6CB9BB92" w14:textId="77777777" w:rsidR="00DA2425" w:rsidRPr="00852AD5" w:rsidRDefault="00DA2425" w:rsidP="00DA2425">
      <w:pPr>
        <w:numPr>
          <w:ilvl w:val="0"/>
          <w:numId w:val="7"/>
        </w:num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You are responsible for holding yourself accountable to these standards, holding each other to these standards, and holding the teaching team accountable as well.</w:t>
      </w:r>
    </w:p>
    <w:p w14:paraId="2F775B74" w14:textId="77777777" w:rsidR="00DA2425" w:rsidRPr="00852AD5" w:rsidRDefault="00DA2425" w:rsidP="00170F9F">
      <w:pPr>
        <w:pStyle w:val="Heading1"/>
      </w:pPr>
      <w:r w:rsidRPr="00852AD5">
        <w:t>Official Correspondence</w:t>
      </w:r>
    </w:p>
    <w:p w14:paraId="10FC4118" w14:textId="77777777" w:rsidR="00DA2425" w:rsidRPr="00852AD5" w:rsidRDefault="00DA2425" w:rsidP="00DA2425">
      <w:p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UT Austin </w:t>
      </w:r>
      <w:bookmarkStart w:id="17" w:name="tex2html43"/>
      <w:r w:rsidRPr="00852AD5">
        <w:rPr>
          <w:rFonts w:asciiTheme="majorBidi" w:hAnsiTheme="majorBidi" w:cstheme="majorBidi"/>
          <w:color w:val="000000"/>
        </w:rPr>
        <w:fldChar w:fldCharType="begin"/>
      </w:r>
      <w:r w:rsidRPr="00852AD5">
        <w:rPr>
          <w:rFonts w:asciiTheme="majorBidi" w:hAnsiTheme="majorBidi" w:cstheme="majorBidi"/>
          <w:color w:val="000000"/>
        </w:rPr>
        <w:instrText xml:space="preserve"> HYPERLINK "https://cio.utexas.edu/policies/university-electronic-mail-student-notification-policy" </w:instrText>
      </w:r>
      <w:r w:rsidRPr="00852AD5">
        <w:rPr>
          <w:rFonts w:asciiTheme="majorBidi" w:hAnsiTheme="majorBidi" w:cstheme="majorBidi"/>
          <w:color w:val="000000"/>
        </w:rPr>
        <w:fldChar w:fldCharType="separate"/>
      </w:r>
      <w:r w:rsidRPr="00852AD5">
        <w:rPr>
          <w:rFonts w:asciiTheme="majorBidi" w:hAnsiTheme="majorBidi" w:cstheme="majorBidi"/>
          <w:color w:val="0000FF"/>
          <w:u w:val="single"/>
        </w:rPr>
        <w:t>considers e-mail as an official mode of university correspondence</w:t>
      </w:r>
      <w:r w:rsidRPr="00852AD5">
        <w:rPr>
          <w:rFonts w:asciiTheme="majorBidi" w:hAnsiTheme="majorBidi" w:cstheme="majorBidi"/>
          <w:color w:val="000000"/>
        </w:rPr>
        <w:fldChar w:fldCharType="end"/>
      </w:r>
      <w:bookmarkEnd w:id="17"/>
      <w:r w:rsidRPr="00852AD5">
        <w:rPr>
          <w:rFonts w:asciiTheme="majorBidi" w:hAnsiTheme="majorBidi" w:cstheme="majorBidi"/>
          <w:color w:val="000000"/>
        </w:rPr>
        <w:t>. You are responsible for following course-related information on the course Canvas site.</w:t>
      </w:r>
    </w:p>
    <w:p w14:paraId="23366FBD" w14:textId="77777777" w:rsidR="00DA2425" w:rsidRPr="00852AD5" w:rsidRDefault="00DA2425" w:rsidP="00170F9F">
      <w:pPr>
        <w:pStyle w:val="Heading1"/>
      </w:pPr>
      <w:r w:rsidRPr="00852AD5">
        <w:t>Religious Holy Days</w:t>
      </w:r>
    </w:p>
    <w:p w14:paraId="7A6975E8" w14:textId="129F688D" w:rsidR="00DA2425" w:rsidRPr="00852AD5" w:rsidRDefault="00DA2425" w:rsidP="00DA2425">
      <w:p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In accordance with </w:t>
      </w:r>
      <w:bookmarkStart w:id="18" w:name="tex2html45"/>
      <w:r w:rsidRPr="00852AD5">
        <w:rPr>
          <w:rFonts w:asciiTheme="majorBidi" w:hAnsiTheme="majorBidi" w:cstheme="majorBidi"/>
          <w:color w:val="000000"/>
        </w:rPr>
        <w:fldChar w:fldCharType="begin"/>
      </w:r>
      <w:r w:rsidRPr="00852AD5">
        <w:rPr>
          <w:rFonts w:asciiTheme="majorBidi" w:hAnsiTheme="majorBidi" w:cstheme="majorBidi"/>
          <w:color w:val="000000"/>
        </w:rPr>
        <w:instrText xml:space="preserve"> HYPERLINK "https://texas.public.law/statutes/tex._educ._code_section_51.911" </w:instrText>
      </w:r>
      <w:r w:rsidRPr="00852AD5">
        <w:rPr>
          <w:rFonts w:asciiTheme="majorBidi" w:hAnsiTheme="majorBidi" w:cstheme="majorBidi"/>
          <w:color w:val="000000"/>
        </w:rPr>
        <w:fldChar w:fldCharType="separate"/>
      </w:r>
      <w:r w:rsidRPr="00852AD5">
        <w:rPr>
          <w:rFonts w:asciiTheme="majorBidi" w:hAnsiTheme="majorBidi" w:cstheme="majorBidi"/>
          <w:color w:val="0000FF"/>
          <w:u w:val="single"/>
        </w:rPr>
        <w:t>section 51.911 of the Texas Education code</w:t>
      </w:r>
      <w:r w:rsidRPr="00852AD5">
        <w:rPr>
          <w:rFonts w:asciiTheme="majorBidi" w:hAnsiTheme="majorBidi" w:cstheme="majorBidi"/>
          <w:color w:val="000000"/>
        </w:rPr>
        <w:fldChar w:fldCharType="end"/>
      </w:r>
      <w:bookmarkEnd w:id="18"/>
      <w:r w:rsidRPr="00852AD5">
        <w:rPr>
          <w:rFonts w:asciiTheme="majorBidi" w:hAnsiTheme="majorBidi" w:cstheme="majorBidi"/>
          <w:color w:val="000000"/>
        </w:rPr>
        <w:t> and </w:t>
      </w:r>
      <w:bookmarkStart w:id="19" w:name="tex2html46"/>
      <w:r w:rsidRPr="00852AD5">
        <w:rPr>
          <w:rFonts w:asciiTheme="majorBidi" w:hAnsiTheme="majorBidi" w:cstheme="majorBidi"/>
          <w:color w:val="000000"/>
        </w:rPr>
        <w:fldChar w:fldCharType="begin"/>
      </w:r>
      <w:r w:rsidRPr="00852AD5">
        <w:rPr>
          <w:rFonts w:asciiTheme="majorBidi" w:hAnsiTheme="majorBidi" w:cstheme="majorBidi"/>
          <w:color w:val="000000"/>
        </w:rPr>
        <w:instrText xml:space="preserve"> HYPERLINK "https://catalog.utexas.edu/general-information/academic-policies-and-procedures/attendance/" </w:instrText>
      </w:r>
      <w:r w:rsidRPr="00852AD5">
        <w:rPr>
          <w:rFonts w:asciiTheme="majorBidi" w:hAnsiTheme="majorBidi" w:cstheme="majorBidi"/>
          <w:color w:val="000000"/>
        </w:rPr>
        <w:fldChar w:fldCharType="separate"/>
      </w:r>
      <w:r w:rsidRPr="00852AD5">
        <w:rPr>
          <w:rFonts w:asciiTheme="majorBidi" w:hAnsiTheme="majorBidi" w:cstheme="majorBidi"/>
          <w:color w:val="0000FF"/>
          <w:u w:val="single"/>
        </w:rPr>
        <w:t>University policies on class attendance</w:t>
      </w:r>
      <w:r w:rsidRPr="00852AD5">
        <w:rPr>
          <w:rFonts w:asciiTheme="majorBidi" w:hAnsiTheme="majorBidi" w:cstheme="majorBidi"/>
          <w:color w:val="000000"/>
        </w:rPr>
        <w:fldChar w:fldCharType="end"/>
      </w:r>
      <w:bookmarkEnd w:id="19"/>
      <w:r w:rsidRPr="00852AD5">
        <w:rPr>
          <w:rFonts w:asciiTheme="majorBidi" w:hAnsiTheme="majorBidi" w:cstheme="majorBidi"/>
          <w:color w:val="000000"/>
        </w:rPr>
        <w:t xml:space="preserve">, a student who misses classes or other required activities, including examinations, for </w:t>
      </w:r>
      <w:r w:rsidRPr="00852AD5">
        <w:rPr>
          <w:rFonts w:asciiTheme="majorBidi" w:hAnsiTheme="majorBidi" w:cstheme="majorBidi"/>
          <w:color w:val="000000"/>
        </w:rPr>
        <w:lastRenderedPageBreak/>
        <w:t>the observance of a religious holy day should inform the instructor as far in advance of the absence as possible so that arrangements can be made to complete an assignment within a reasonable period after the absence. A reasonable accommodation does not include substantial modification to academic standards, or adjustments of requirements essential to any program of instruction. Students and instructors who have questions or concerns about academic accommodations for religious observance or religious beliefs may contact the </w:t>
      </w:r>
      <w:bookmarkStart w:id="20" w:name="tex2html47"/>
      <w:r w:rsidRPr="00852AD5">
        <w:rPr>
          <w:rFonts w:asciiTheme="majorBidi" w:hAnsiTheme="majorBidi" w:cstheme="majorBidi"/>
          <w:color w:val="000000"/>
        </w:rPr>
        <w:fldChar w:fldCharType="begin"/>
      </w:r>
      <w:r w:rsidRPr="00852AD5">
        <w:rPr>
          <w:rFonts w:asciiTheme="majorBidi" w:hAnsiTheme="majorBidi" w:cstheme="majorBidi"/>
          <w:color w:val="000000"/>
        </w:rPr>
        <w:instrText xml:space="preserve"> HYPERLINK "https://equity.utexas.edu/" </w:instrText>
      </w:r>
      <w:r w:rsidRPr="00852AD5">
        <w:rPr>
          <w:rFonts w:asciiTheme="majorBidi" w:hAnsiTheme="majorBidi" w:cstheme="majorBidi"/>
          <w:color w:val="000000"/>
        </w:rPr>
        <w:fldChar w:fldCharType="separate"/>
      </w:r>
      <w:r w:rsidRPr="00852AD5">
        <w:rPr>
          <w:rFonts w:asciiTheme="majorBidi" w:hAnsiTheme="majorBidi" w:cstheme="majorBidi"/>
          <w:color w:val="0000FF"/>
          <w:u w:val="single"/>
        </w:rPr>
        <w:t>Office for Inclusion and Equity</w:t>
      </w:r>
      <w:r w:rsidRPr="00852AD5">
        <w:rPr>
          <w:rFonts w:asciiTheme="majorBidi" w:hAnsiTheme="majorBidi" w:cstheme="majorBidi"/>
          <w:color w:val="000000"/>
        </w:rPr>
        <w:fldChar w:fldCharType="end"/>
      </w:r>
      <w:bookmarkEnd w:id="20"/>
      <w:r w:rsidRPr="00852AD5">
        <w:rPr>
          <w:rFonts w:asciiTheme="majorBidi" w:hAnsiTheme="majorBidi" w:cstheme="majorBidi"/>
          <w:color w:val="000000"/>
        </w:rPr>
        <w:t>. The University does not maintain a list of religious holy days.</w:t>
      </w:r>
    </w:p>
    <w:p w14:paraId="3ADD33BA" w14:textId="77777777" w:rsidR="00DA2425" w:rsidRPr="00852AD5" w:rsidRDefault="00DA2425" w:rsidP="00170F9F">
      <w:pPr>
        <w:pStyle w:val="Heading1"/>
      </w:pPr>
      <w:r w:rsidRPr="00852AD5">
        <w:t>Absence for Military Service</w:t>
      </w:r>
    </w:p>
    <w:p w14:paraId="53163685" w14:textId="543BFEF7" w:rsidR="00DA2425" w:rsidRPr="00852AD5" w:rsidRDefault="00DA2425" w:rsidP="00DA2425">
      <w:p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In accordance with </w:t>
      </w:r>
      <w:bookmarkStart w:id="21" w:name="tex2html48"/>
      <w:r w:rsidRPr="00852AD5">
        <w:rPr>
          <w:rFonts w:asciiTheme="majorBidi" w:hAnsiTheme="majorBidi" w:cstheme="majorBidi"/>
          <w:color w:val="000000"/>
        </w:rPr>
        <w:fldChar w:fldCharType="begin"/>
      </w:r>
      <w:r w:rsidRPr="00852AD5">
        <w:rPr>
          <w:rFonts w:asciiTheme="majorBidi" w:hAnsiTheme="majorBidi" w:cstheme="majorBidi"/>
          <w:color w:val="000000"/>
        </w:rPr>
        <w:instrText xml:space="preserve"> HYPERLINK "https://texas.public.law/statutes/tex._educ._code_section_51.9111" </w:instrText>
      </w:r>
      <w:r w:rsidRPr="00852AD5">
        <w:rPr>
          <w:rFonts w:asciiTheme="majorBidi" w:hAnsiTheme="majorBidi" w:cstheme="majorBidi"/>
          <w:color w:val="000000"/>
        </w:rPr>
        <w:fldChar w:fldCharType="separate"/>
      </w:r>
      <w:r w:rsidRPr="00852AD5">
        <w:rPr>
          <w:rFonts w:asciiTheme="majorBidi" w:hAnsiTheme="majorBidi" w:cstheme="majorBidi"/>
          <w:color w:val="0000FF"/>
          <w:u w:val="single"/>
        </w:rPr>
        <w:t>section 51.9111 of the Texas Education code</w:t>
      </w:r>
      <w:r w:rsidRPr="00852AD5">
        <w:rPr>
          <w:rFonts w:asciiTheme="majorBidi" w:hAnsiTheme="majorBidi" w:cstheme="majorBidi"/>
          <w:color w:val="000000"/>
        </w:rPr>
        <w:fldChar w:fldCharType="end"/>
      </w:r>
      <w:bookmarkEnd w:id="21"/>
      <w:r w:rsidRPr="00852AD5">
        <w:rPr>
          <w:rFonts w:asciiTheme="majorBidi" w:hAnsiTheme="majorBidi" w:cstheme="majorBidi"/>
          <w:color w:val="000000"/>
        </w:rPr>
        <w:t> and </w:t>
      </w:r>
      <w:bookmarkStart w:id="22" w:name="tex2html49"/>
      <w:r w:rsidRPr="00852AD5">
        <w:rPr>
          <w:rFonts w:asciiTheme="majorBidi" w:hAnsiTheme="majorBidi" w:cstheme="majorBidi"/>
          <w:color w:val="000000"/>
        </w:rPr>
        <w:fldChar w:fldCharType="begin"/>
      </w:r>
      <w:r w:rsidRPr="00852AD5">
        <w:rPr>
          <w:rFonts w:asciiTheme="majorBidi" w:hAnsiTheme="majorBidi" w:cstheme="majorBidi"/>
          <w:color w:val="000000"/>
        </w:rPr>
        <w:instrText xml:space="preserve"> HYPERLINK "https://catalog.utexas.edu/general-information/academic-policies-and-procedures/attendance/" </w:instrText>
      </w:r>
      <w:r w:rsidRPr="00852AD5">
        <w:rPr>
          <w:rFonts w:asciiTheme="majorBidi" w:hAnsiTheme="majorBidi" w:cstheme="majorBidi"/>
          <w:color w:val="000000"/>
        </w:rPr>
        <w:fldChar w:fldCharType="separate"/>
      </w:r>
      <w:r w:rsidRPr="00852AD5">
        <w:rPr>
          <w:rFonts w:asciiTheme="majorBidi" w:hAnsiTheme="majorBidi" w:cstheme="majorBidi"/>
          <w:color w:val="0000FF"/>
          <w:u w:val="single"/>
        </w:rPr>
        <w:t>University policies on class attendance</w:t>
      </w:r>
      <w:r w:rsidRPr="00852AD5">
        <w:rPr>
          <w:rFonts w:asciiTheme="majorBidi" w:hAnsiTheme="majorBidi" w:cstheme="majorBidi"/>
          <w:color w:val="000000"/>
        </w:rPr>
        <w:fldChar w:fldCharType="end"/>
      </w:r>
      <w:bookmarkEnd w:id="22"/>
      <w:r w:rsidRPr="00852AD5">
        <w:rPr>
          <w:rFonts w:asciiTheme="majorBidi" w:hAnsiTheme="majorBidi" w:cstheme="majorBidi"/>
          <w:color w:val="000000"/>
        </w:rPr>
        <w:t xml:space="preserve">, a student is excused from attending classes or engaging in other required activities, including exams, if he or she is called to active military service of a reasonably brief duration. The maximum time for which the student may be excused has been defined by the Texas Higher Education Coordinating Board as </w:t>
      </w:r>
      <w:r w:rsidR="00A616B6">
        <w:rPr>
          <w:rFonts w:asciiTheme="majorBidi" w:hAnsiTheme="majorBidi" w:cstheme="majorBidi"/>
          <w:color w:val="000000"/>
        </w:rPr>
        <w:t>“</w:t>
      </w:r>
      <w:r w:rsidRPr="00852AD5">
        <w:rPr>
          <w:rFonts w:asciiTheme="majorBidi" w:hAnsiTheme="majorBidi" w:cstheme="majorBidi"/>
          <w:color w:val="000000"/>
        </w:rPr>
        <w:t>no more than 25 percent of the total number of class meetings or the contact hour equivalent (not including the final examination period) for the specific course or courses in which the student is currently enrolled at the beginning of the period of active military service.</w:t>
      </w:r>
      <w:r w:rsidR="00A616B6">
        <w:rPr>
          <w:rFonts w:asciiTheme="majorBidi" w:hAnsiTheme="majorBidi" w:cstheme="majorBidi"/>
          <w:color w:val="000000"/>
        </w:rPr>
        <w:t>”</w:t>
      </w:r>
      <w:r w:rsidRPr="00852AD5">
        <w:rPr>
          <w:rFonts w:asciiTheme="majorBidi" w:hAnsiTheme="majorBidi" w:cstheme="majorBidi"/>
          <w:color w:val="000000"/>
        </w:rPr>
        <w:t xml:space="preserve"> The student will be allowed a reasonable time after the absence to complete assignments and take exams.</w:t>
      </w:r>
    </w:p>
    <w:p w14:paraId="16365EE4" w14:textId="77777777" w:rsidR="00DA2425" w:rsidRPr="00852AD5" w:rsidRDefault="00DA2425" w:rsidP="00170F9F">
      <w:pPr>
        <w:pStyle w:val="Heading1"/>
      </w:pPr>
      <w:r w:rsidRPr="00852AD5">
        <w:t>COVID-19 Guidance</w:t>
      </w:r>
    </w:p>
    <w:p w14:paraId="3EE30AC0" w14:textId="77777777" w:rsidR="00DA2425" w:rsidRPr="00852AD5" w:rsidRDefault="00DA2425" w:rsidP="00DA2425">
      <w:p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To help preserve our in-person learning environment, the university recommends the following.</w:t>
      </w:r>
    </w:p>
    <w:p w14:paraId="27202AE3" w14:textId="076538C6" w:rsidR="00DA2425" w:rsidRPr="00852AD5" w:rsidRDefault="00DA2425" w:rsidP="00DA2425">
      <w:pPr>
        <w:numPr>
          <w:ilvl w:val="0"/>
          <w:numId w:val="8"/>
        </w:num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Adhere to university </w:t>
      </w:r>
      <w:bookmarkStart w:id="23" w:name="tex2html50"/>
      <w:r w:rsidRPr="00852AD5">
        <w:rPr>
          <w:rFonts w:asciiTheme="majorBidi" w:hAnsiTheme="majorBidi" w:cstheme="majorBidi"/>
          <w:color w:val="000000"/>
        </w:rPr>
        <w:fldChar w:fldCharType="begin"/>
      </w:r>
      <w:r w:rsidR="009B4054">
        <w:rPr>
          <w:rFonts w:asciiTheme="majorBidi" w:hAnsiTheme="majorBidi" w:cstheme="majorBidi"/>
          <w:color w:val="000000"/>
        </w:rPr>
        <w:instrText>HYPERLINK "https://healthyhorns.utexas.edu/images/pdf/ProtectiveFaceMaskGuidance_2020.pdf"</w:instrText>
      </w:r>
      <w:r w:rsidRPr="00852AD5">
        <w:rPr>
          <w:rFonts w:asciiTheme="majorBidi" w:hAnsiTheme="majorBidi" w:cstheme="majorBidi"/>
          <w:color w:val="000000"/>
        </w:rPr>
        <w:fldChar w:fldCharType="separate"/>
      </w:r>
      <w:r w:rsidRPr="00852AD5">
        <w:rPr>
          <w:rFonts w:asciiTheme="majorBidi" w:hAnsiTheme="majorBidi" w:cstheme="majorBidi"/>
          <w:color w:val="0000FF"/>
          <w:u w:val="single"/>
        </w:rPr>
        <w:t>mask guidance</w:t>
      </w:r>
      <w:r w:rsidRPr="00852AD5">
        <w:rPr>
          <w:rFonts w:asciiTheme="majorBidi" w:hAnsiTheme="majorBidi" w:cstheme="majorBidi"/>
          <w:color w:val="000000"/>
        </w:rPr>
        <w:fldChar w:fldCharType="end"/>
      </w:r>
      <w:bookmarkEnd w:id="23"/>
      <w:r w:rsidRPr="00852AD5">
        <w:rPr>
          <w:rFonts w:asciiTheme="majorBidi" w:hAnsiTheme="majorBidi" w:cstheme="majorBidi"/>
          <w:color w:val="000000"/>
        </w:rPr>
        <w:t>.</w:t>
      </w:r>
    </w:p>
    <w:bookmarkStart w:id="24" w:name="tex2html51"/>
    <w:p w14:paraId="181A16B7" w14:textId="66062258" w:rsidR="00DA2425" w:rsidRPr="00852AD5" w:rsidRDefault="00DA2425" w:rsidP="00DA2425">
      <w:pPr>
        <w:numPr>
          <w:ilvl w:val="0"/>
          <w:numId w:val="8"/>
        </w:num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fldChar w:fldCharType="begin"/>
      </w:r>
      <w:r w:rsidR="00CB44C0">
        <w:rPr>
          <w:rFonts w:asciiTheme="majorBidi" w:hAnsiTheme="majorBidi" w:cstheme="majorBidi"/>
          <w:color w:val="000000"/>
        </w:rPr>
        <w:instrText>HYPERLINK "https://healthyhorns.utexas.edu/coronavirus_vaccination.html"</w:instrText>
      </w:r>
      <w:r w:rsidRPr="00852AD5">
        <w:rPr>
          <w:rFonts w:asciiTheme="majorBidi" w:hAnsiTheme="majorBidi" w:cstheme="majorBidi"/>
          <w:color w:val="000000"/>
        </w:rPr>
        <w:fldChar w:fldCharType="separate"/>
      </w:r>
      <w:r w:rsidRPr="00852AD5">
        <w:rPr>
          <w:rFonts w:asciiTheme="majorBidi" w:hAnsiTheme="majorBidi" w:cstheme="majorBidi"/>
          <w:color w:val="0000FF"/>
          <w:u w:val="single"/>
        </w:rPr>
        <w:t>Vaccinations are widely available</w:t>
      </w:r>
      <w:r w:rsidRPr="00852AD5">
        <w:rPr>
          <w:rFonts w:asciiTheme="majorBidi" w:hAnsiTheme="majorBidi" w:cstheme="majorBidi"/>
          <w:color w:val="000000"/>
        </w:rPr>
        <w:fldChar w:fldCharType="end"/>
      </w:r>
      <w:bookmarkEnd w:id="24"/>
      <w:r w:rsidRPr="00852AD5">
        <w:rPr>
          <w:rFonts w:asciiTheme="majorBidi" w:hAnsiTheme="majorBidi" w:cstheme="majorBidi"/>
          <w:color w:val="000000"/>
        </w:rPr>
        <w:t>, free and not billed to health insurance. The vaccine will help protect against the transmission of the virus to others and reduce serious symptoms in those who are vaccinated.</w:t>
      </w:r>
    </w:p>
    <w:bookmarkStart w:id="25" w:name="tex2html52"/>
    <w:p w14:paraId="3BE63290" w14:textId="077CB74E" w:rsidR="00DA2425" w:rsidRPr="00852AD5" w:rsidRDefault="00DA2425" w:rsidP="00DA2425">
      <w:pPr>
        <w:numPr>
          <w:ilvl w:val="0"/>
          <w:numId w:val="8"/>
        </w:num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fldChar w:fldCharType="begin"/>
      </w:r>
      <w:r w:rsidRPr="00852AD5">
        <w:rPr>
          <w:rFonts w:asciiTheme="majorBidi" w:hAnsiTheme="majorBidi" w:cstheme="majorBidi"/>
          <w:color w:val="000000"/>
        </w:rPr>
        <w:instrText xml:space="preserve"> HYPERLINK "https://healthyhorns.utexas.edu/coronavirus_proactive_testing.html" </w:instrText>
      </w:r>
      <w:r w:rsidRPr="00852AD5">
        <w:rPr>
          <w:rFonts w:asciiTheme="majorBidi" w:hAnsiTheme="majorBidi" w:cstheme="majorBidi"/>
          <w:color w:val="000000"/>
        </w:rPr>
        <w:fldChar w:fldCharType="separate"/>
      </w:r>
      <w:r w:rsidRPr="00852AD5">
        <w:rPr>
          <w:rFonts w:asciiTheme="majorBidi" w:hAnsiTheme="majorBidi" w:cstheme="majorBidi"/>
          <w:color w:val="0000FF"/>
          <w:u w:val="single"/>
        </w:rPr>
        <w:t>Proactive Community Testing</w:t>
      </w:r>
      <w:r w:rsidRPr="00852AD5">
        <w:rPr>
          <w:rFonts w:asciiTheme="majorBidi" w:hAnsiTheme="majorBidi" w:cstheme="majorBidi"/>
          <w:color w:val="000000"/>
        </w:rPr>
        <w:fldChar w:fldCharType="end"/>
      </w:r>
      <w:bookmarkEnd w:id="25"/>
      <w:r w:rsidRPr="00852AD5">
        <w:rPr>
          <w:rFonts w:asciiTheme="majorBidi" w:hAnsiTheme="majorBidi" w:cstheme="majorBidi"/>
          <w:color w:val="000000"/>
        </w:rPr>
        <w:t> remains an important part of the university</w:t>
      </w:r>
      <w:r w:rsidR="009B4054">
        <w:rPr>
          <w:rFonts w:asciiTheme="majorBidi" w:hAnsiTheme="majorBidi" w:cstheme="majorBidi"/>
          <w:color w:val="000000"/>
        </w:rPr>
        <w:t xml:space="preserve">’s </w:t>
      </w:r>
      <w:r w:rsidRPr="00852AD5">
        <w:rPr>
          <w:rFonts w:asciiTheme="majorBidi" w:hAnsiTheme="majorBidi" w:cstheme="majorBidi"/>
          <w:color w:val="000000"/>
        </w:rPr>
        <w:t>efforts to protect our community. Tests are fast and free.</w:t>
      </w:r>
    </w:p>
    <w:p w14:paraId="092E8E1D" w14:textId="77777777" w:rsidR="00DA2425" w:rsidRPr="00852AD5" w:rsidRDefault="00DA2425" w:rsidP="00DA2425">
      <w:pPr>
        <w:numPr>
          <w:ilvl w:val="0"/>
          <w:numId w:val="8"/>
        </w:num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Visit </w:t>
      </w:r>
      <w:bookmarkStart w:id="26" w:name="tex2html53"/>
      <w:r w:rsidRPr="00852AD5">
        <w:rPr>
          <w:rFonts w:asciiTheme="majorBidi" w:hAnsiTheme="majorBidi" w:cstheme="majorBidi"/>
          <w:color w:val="000000"/>
        </w:rPr>
        <w:fldChar w:fldCharType="begin"/>
      </w:r>
      <w:r w:rsidRPr="00852AD5">
        <w:rPr>
          <w:rFonts w:asciiTheme="majorBidi" w:hAnsiTheme="majorBidi" w:cstheme="majorBidi"/>
          <w:color w:val="000000"/>
        </w:rPr>
        <w:instrText xml:space="preserve"> HYPERLINK "http://protect.utexas.edu" </w:instrText>
      </w:r>
      <w:r w:rsidRPr="00852AD5">
        <w:rPr>
          <w:rFonts w:asciiTheme="majorBidi" w:hAnsiTheme="majorBidi" w:cstheme="majorBidi"/>
          <w:color w:val="000000"/>
        </w:rPr>
        <w:fldChar w:fldCharType="separate"/>
      </w:r>
      <w:r w:rsidRPr="00852AD5">
        <w:rPr>
          <w:rFonts w:asciiTheme="majorBidi" w:hAnsiTheme="majorBidi" w:cstheme="majorBidi"/>
          <w:color w:val="0000FF"/>
          <w:u w:val="single"/>
        </w:rPr>
        <w:t>Protect Texas Together</w:t>
      </w:r>
      <w:r w:rsidRPr="00852AD5">
        <w:rPr>
          <w:rFonts w:asciiTheme="majorBidi" w:hAnsiTheme="majorBidi" w:cstheme="majorBidi"/>
          <w:color w:val="000000"/>
        </w:rPr>
        <w:fldChar w:fldCharType="end"/>
      </w:r>
      <w:bookmarkEnd w:id="26"/>
      <w:r w:rsidRPr="00852AD5">
        <w:rPr>
          <w:rFonts w:asciiTheme="majorBidi" w:hAnsiTheme="majorBidi" w:cstheme="majorBidi"/>
          <w:color w:val="000000"/>
        </w:rPr>
        <w:t> for more information</w:t>
      </w:r>
    </w:p>
    <w:p w14:paraId="5A0EB32B" w14:textId="43E2FDD4" w:rsidR="00DA2425" w:rsidRPr="00852AD5" w:rsidRDefault="00DA2425" w:rsidP="00170F9F">
      <w:pPr>
        <w:pStyle w:val="Heading1"/>
      </w:pPr>
      <w:r w:rsidRPr="00852AD5">
        <w:t>Safety Information</w:t>
      </w:r>
      <w:r w:rsidR="005A27E0" w:rsidRPr="00852AD5">
        <w:t xml:space="preserve"> (http://www.utexas.edu/safety)</w:t>
      </w:r>
    </w:p>
    <w:p w14:paraId="00FC6126" w14:textId="163AADA2" w:rsidR="00DA2425" w:rsidRPr="00852AD5" w:rsidRDefault="00DA2425" w:rsidP="00DA2425">
      <w:p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 xml:space="preserve">If you have concerns about the safety or behavior of students, TAs, Professors, or others, call the </w:t>
      </w:r>
      <w:r w:rsidR="009B4054" w:rsidRPr="00852AD5">
        <w:rPr>
          <w:rFonts w:asciiTheme="majorBidi" w:hAnsiTheme="majorBidi" w:cstheme="majorBidi"/>
          <w:color w:val="000000"/>
        </w:rPr>
        <w:t>Behavioral</w:t>
      </w:r>
      <w:r w:rsidRPr="00852AD5">
        <w:rPr>
          <w:rFonts w:asciiTheme="majorBidi" w:hAnsiTheme="majorBidi" w:cstheme="majorBidi"/>
          <w:color w:val="000000"/>
        </w:rPr>
        <w:t xml:space="preserve"> Concerns Advice Line at 512-232-5050. Your call can be anonymous. If something doesn't feel right, it probably isn't. Trust your instincts and share your concerns.</w:t>
      </w:r>
    </w:p>
    <w:p w14:paraId="6D27B130" w14:textId="77777777" w:rsidR="00DA2425" w:rsidRPr="00852AD5" w:rsidRDefault="00DA2425" w:rsidP="00DA2425">
      <w:p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Occupants of buildings are required to evacuate buildings when a fire alarm is activated. Alarm activation or announcement requires exiting and assembling outside.</w:t>
      </w:r>
    </w:p>
    <w:p w14:paraId="26C57C18" w14:textId="77777777" w:rsidR="00DA2425" w:rsidRPr="00852AD5" w:rsidRDefault="00DA2425" w:rsidP="00DA2425">
      <w:pPr>
        <w:numPr>
          <w:ilvl w:val="0"/>
          <w:numId w:val="9"/>
        </w:num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Familiarize yourself with all exit doors of each classroom and building you may occupy. The nearest exit door may not be the one you used when entering the building.</w:t>
      </w:r>
    </w:p>
    <w:p w14:paraId="01367B44" w14:textId="77772218" w:rsidR="00DA2425" w:rsidRPr="00852AD5" w:rsidRDefault="00DA2425" w:rsidP="00DA2425">
      <w:pPr>
        <w:numPr>
          <w:ilvl w:val="0"/>
          <w:numId w:val="9"/>
        </w:num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Students requiring assistance in evacuation shall inform the</w:t>
      </w:r>
      <w:r w:rsidR="009B4054">
        <w:rPr>
          <w:rFonts w:asciiTheme="majorBidi" w:hAnsiTheme="majorBidi" w:cstheme="majorBidi"/>
          <w:color w:val="000000"/>
        </w:rPr>
        <w:t xml:space="preserve"> lead</w:t>
      </w:r>
      <w:r w:rsidRPr="00852AD5">
        <w:rPr>
          <w:rFonts w:asciiTheme="majorBidi" w:hAnsiTheme="majorBidi" w:cstheme="majorBidi"/>
          <w:color w:val="000000"/>
        </w:rPr>
        <w:t xml:space="preserve"> instructor in writing during the first week of class.</w:t>
      </w:r>
    </w:p>
    <w:p w14:paraId="22238B50" w14:textId="77777777" w:rsidR="00DA2425" w:rsidRPr="00852AD5" w:rsidRDefault="00DA2425" w:rsidP="00DA2425">
      <w:pPr>
        <w:numPr>
          <w:ilvl w:val="0"/>
          <w:numId w:val="9"/>
        </w:num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lastRenderedPageBreak/>
        <w:t>In the event of an evacuation, follow the instruction of faculty or class instructors. Do not re-enter a building unless given instructions by the following: Austin Fire Department, UT Austin Police Department, or Fire Prevention Services.</w:t>
      </w:r>
    </w:p>
    <w:bookmarkStart w:id="27" w:name="tex2html54"/>
    <w:p w14:paraId="48A44AF7" w14:textId="77777777" w:rsidR="00DA2425" w:rsidRPr="00852AD5" w:rsidRDefault="00DA2425" w:rsidP="00DA2425">
      <w:pPr>
        <w:numPr>
          <w:ilvl w:val="0"/>
          <w:numId w:val="9"/>
        </w:num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fldChar w:fldCharType="begin"/>
      </w:r>
      <w:r w:rsidRPr="00852AD5">
        <w:rPr>
          <w:rFonts w:asciiTheme="majorBidi" w:hAnsiTheme="majorBidi" w:cstheme="majorBidi"/>
          <w:color w:val="000000"/>
        </w:rPr>
        <w:instrText xml:space="preserve"> HYPERLINK "http://www.utexas.edu/emergency" </w:instrText>
      </w:r>
      <w:r w:rsidRPr="00852AD5">
        <w:rPr>
          <w:rFonts w:asciiTheme="majorBidi" w:hAnsiTheme="majorBidi" w:cstheme="majorBidi"/>
          <w:color w:val="000000"/>
        </w:rPr>
        <w:fldChar w:fldCharType="separate"/>
      </w:r>
      <w:r w:rsidRPr="00852AD5">
        <w:rPr>
          <w:rFonts w:asciiTheme="majorBidi" w:hAnsiTheme="majorBidi" w:cstheme="majorBidi"/>
          <w:color w:val="0000FF"/>
          <w:u w:val="single"/>
        </w:rPr>
        <w:t>Information regarding emergency evacuation routes and emergency procedures</w:t>
      </w:r>
      <w:r w:rsidRPr="00852AD5">
        <w:rPr>
          <w:rFonts w:asciiTheme="majorBidi" w:hAnsiTheme="majorBidi" w:cstheme="majorBidi"/>
          <w:color w:val="000000"/>
        </w:rPr>
        <w:fldChar w:fldCharType="end"/>
      </w:r>
      <w:bookmarkEnd w:id="27"/>
      <w:r w:rsidRPr="00852AD5">
        <w:rPr>
          <w:rFonts w:asciiTheme="majorBidi" w:hAnsiTheme="majorBidi" w:cstheme="majorBidi"/>
          <w:color w:val="000000"/>
        </w:rPr>
        <w:t>.</w:t>
      </w:r>
    </w:p>
    <w:p w14:paraId="562F628A" w14:textId="77777777" w:rsidR="00017472" w:rsidRDefault="00017472" w:rsidP="00170F9F">
      <w:pPr>
        <w:pStyle w:val="Heading1"/>
      </w:pPr>
    </w:p>
    <w:p w14:paraId="6A316251" w14:textId="7FC8D20E" w:rsidR="00DA2425" w:rsidRPr="00852AD5" w:rsidRDefault="00DA2425" w:rsidP="00170F9F">
      <w:pPr>
        <w:pStyle w:val="Heading1"/>
      </w:pPr>
      <w:r w:rsidRPr="00852AD5">
        <w:t>Sanger Learning Center</w:t>
      </w:r>
    </w:p>
    <w:p w14:paraId="0395B1CB" w14:textId="6683EAF2" w:rsidR="00DA2425" w:rsidRPr="00852AD5" w:rsidRDefault="00DA2425" w:rsidP="00DA2425">
      <w:p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 xml:space="preserve">More </w:t>
      </w:r>
      <w:r w:rsidR="00CA5FF6">
        <w:rPr>
          <w:rFonts w:asciiTheme="majorBidi" w:hAnsiTheme="majorBidi" w:cstheme="majorBidi"/>
          <w:color w:val="000000"/>
        </w:rPr>
        <w:t xml:space="preserve">students </w:t>
      </w:r>
      <w:r w:rsidRPr="00852AD5">
        <w:rPr>
          <w:rFonts w:asciiTheme="majorBidi" w:hAnsiTheme="majorBidi" w:cstheme="majorBidi"/>
          <w:color w:val="000000"/>
        </w:rPr>
        <w:t>use the Sanger Learning Center each year to improve their academic performance. All students are welcome to join their classes and workshops and make appointments for their private learning specialists, peer academic coaches, and tutors. For more informat</w:t>
      </w:r>
      <w:r w:rsidR="00CA5FF6">
        <w:rPr>
          <w:rFonts w:asciiTheme="majorBidi" w:hAnsiTheme="majorBidi" w:cstheme="majorBidi"/>
          <w:color w:val="000000"/>
        </w:rPr>
        <w:t>i</w:t>
      </w:r>
      <w:r w:rsidRPr="00852AD5">
        <w:rPr>
          <w:rFonts w:asciiTheme="majorBidi" w:hAnsiTheme="majorBidi" w:cstheme="majorBidi"/>
          <w:color w:val="000000"/>
        </w:rPr>
        <w:t>on, see the </w:t>
      </w:r>
      <w:bookmarkStart w:id="28" w:name="tex2html56"/>
      <w:r w:rsidRPr="00852AD5">
        <w:rPr>
          <w:rFonts w:asciiTheme="majorBidi" w:hAnsiTheme="majorBidi" w:cstheme="majorBidi"/>
          <w:color w:val="000000"/>
        </w:rPr>
        <w:fldChar w:fldCharType="begin"/>
      </w:r>
      <w:r w:rsidRPr="00852AD5">
        <w:rPr>
          <w:rFonts w:asciiTheme="majorBidi" w:hAnsiTheme="majorBidi" w:cstheme="majorBidi"/>
          <w:color w:val="000000"/>
        </w:rPr>
        <w:instrText xml:space="preserve"> HYPERLINK "http://www.utexas.edu/ugs/slc" </w:instrText>
      </w:r>
      <w:r w:rsidRPr="00852AD5">
        <w:rPr>
          <w:rFonts w:asciiTheme="majorBidi" w:hAnsiTheme="majorBidi" w:cstheme="majorBidi"/>
          <w:color w:val="000000"/>
        </w:rPr>
        <w:fldChar w:fldCharType="separate"/>
      </w:r>
      <w:r w:rsidRPr="00852AD5">
        <w:rPr>
          <w:rFonts w:asciiTheme="majorBidi" w:hAnsiTheme="majorBidi" w:cstheme="majorBidi"/>
          <w:color w:val="0000FF"/>
          <w:u w:val="single"/>
        </w:rPr>
        <w:t>Sanger Web site</w:t>
      </w:r>
      <w:r w:rsidRPr="00852AD5">
        <w:rPr>
          <w:rFonts w:asciiTheme="majorBidi" w:hAnsiTheme="majorBidi" w:cstheme="majorBidi"/>
          <w:color w:val="000000"/>
        </w:rPr>
        <w:fldChar w:fldCharType="end"/>
      </w:r>
      <w:bookmarkEnd w:id="28"/>
      <w:r w:rsidRPr="00852AD5">
        <w:rPr>
          <w:rFonts w:asciiTheme="majorBidi" w:hAnsiTheme="majorBidi" w:cstheme="majorBidi"/>
          <w:color w:val="000000"/>
        </w:rPr>
        <w:t> or call 512-471-3614 (JES A332).</w:t>
      </w:r>
    </w:p>
    <w:p w14:paraId="20D26F99" w14:textId="77777777" w:rsidR="00DA2425" w:rsidRPr="00852AD5" w:rsidRDefault="00DA2425" w:rsidP="00170F9F">
      <w:pPr>
        <w:pStyle w:val="Heading1"/>
      </w:pPr>
      <w:r w:rsidRPr="00852AD5">
        <w:t>Title IX Reporting</w:t>
      </w:r>
    </w:p>
    <w:p w14:paraId="440FF28F" w14:textId="77777777" w:rsidR="00DA2425" w:rsidRPr="00852AD5" w:rsidRDefault="00DA2425" w:rsidP="00DA2425">
      <w:p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Title IX is a federal law that protects against sex and gender-based discrimination, sexual harassment, sexual assault, sexual misconduct, dating/domestic violence and stalking at federally funded educational institutions. UT Austin is committed to fostering a learning and working environment free from discrimination in all its forms where all students, faculty, and staff can learn, work, and thrive. When sexual misconduct occurs in our community, the university can:</w:t>
      </w:r>
    </w:p>
    <w:p w14:paraId="32D937B5" w14:textId="77777777" w:rsidR="00DA2425" w:rsidRPr="00852AD5" w:rsidRDefault="00DA2425" w:rsidP="00DA2425">
      <w:pPr>
        <w:numPr>
          <w:ilvl w:val="0"/>
          <w:numId w:val="10"/>
        </w:num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Intervene to prevent harmful behavior from continuing or escalating.</w:t>
      </w:r>
    </w:p>
    <w:p w14:paraId="523AF9D6" w14:textId="77777777" w:rsidR="00DA2425" w:rsidRPr="00852AD5" w:rsidRDefault="00DA2425" w:rsidP="00DA2425">
      <w:pPr>
        <w:numPr>
          <w:ilvl w:val="0"/>
          <w:numId w:val="10"/>
        </w:num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Provide support and remedies to students and employees who have experienced harm or have become involved in a Title IX investigation. </w:t>
      </w:r>
    </w:p>
    <w:p w14:paraId="3B8F73D7" w14:textId="4EF67F45" w:rsidR="00DA2425" w:rsidRPr="00852AD5" w:rsidRDefault="00DA2425" w:rsidP="00DA2425">
      <w:pPr>
        <w:numPr>
          <w:ilvl w:val="0"/>
          <w:numId w:val="10"/>
        </w:numPr>
        <w:spacing w:before="100" w:beforeAutospacing="1" w:after="100" w:afterAutospacing="1"/>
        <w:rPr>
          <w:rFonts w:asciiTheme="majorBidi" w:hAnsiTheme="majorBidi" w:cstheme="majorBidi"/>
          <w:color w:val="000000"/>
        </w:rPr>
      </w:pPr>
      <w:r w:rsidRPr="00852AD5">
        <w:rPr>
          <w:rFonts w:asciiTheme="majorBidi" w:hAnsiTheme="majorBidi" w:cstheme="majorBidi"/>
          <w:color w:val="000000"/>
        </w:rPr>
        <w:t>Investigate and discipline violations of the university's relevant policies.</w:t>
      </w:r>
    </w:p>
    <w:p w14:paraId="617D5CBF" w14:textId="59E68E18" w:rsidR="000A5199" w:rsidRPr="00852AD5" w:rsidRDefault="000A5199" w:rsidP="000A5199">
      <w:pPr>
        <w:spacing w:before="100" w:beforeAutospacing="1" w:after="100" w:afterAutospacing="1"/>
        <w:rPr>
          <w:rFonts w:asciiTheme="majorBidi" w:hAnsiTheme="majorBidi" w:cstheme="majorBidi"/>
          <w:color w:val="000000"/>
        </w:rPr>
      </w:pPr>
      <w:r w:rsidRPr="00852AD5">
        <w:rPr>
          <w:rFonts w:asciiTheme="majorBidi" w:eastAsiaTheme="minorEastAsia" w:hAnsiTheme="majorBidi" w:cstheme="majorBidi"/>
        </w:rPr>
        <w:t xml:space="preserve">Faculty members and certain staff members are considered </w:t>
      </w:r>
      <w:r w:rsidR="009848BA">
        <w:rPr>
          <w:rFonts w:asciiTheme="majorBidi" w:eastAsiaTheme="minorEastAsia" w:hAnsiTheme="majorBidi" w:cstheme="majorBidi"/>
        </w:rPr>
        <w:t>“</w:t>
      </w:r>
      <w:r w:rsidRPr="00852AD5">
        <w:rPr>
          <w:rFonts w:asciiTheme="majorBidi" w:eastAsiaTheme="minorEastAsia" w:hAnsiTheme="majorBidi" w:cstheme="majorBidi"/>
        </w:rPr>
        <w:t>Responsible Employees</w:t>
      </w:r>
      <w:r w:rsidR="009848BA">
        <w:rPr>
          <w:rFonts w:asciiTheme="majorBidi" w:eastAsiaTheme="minorEastAsia" w:hAnsiTheme="majorBidi" w:cstheme="majorBidi"/>
        </w:rPr>
        <w:t>”</w:t>
      </w:r>
      <w:r w:rsidRPr="00852AD5">
        <w:rPr>
          <w:rFonts w:asciiTheme="majorBidi" w:eastAsiaTheme="minorEastAsia" w:hAnsiTheme="majorBidi" w:cstheme="majorBidi"/>
        </w:rPr>
        <w:t xml:space="preserve"> or </w:t>
      </w:r>
      <w:r w:rsidR="009848BA">
        <w:rPr>
          <w:rFonts w:asciiTheme="majorBidi" w:eastAsiaTheme="minorEastAsia" w:hAnsiTheme="majorBidi" w:cstheme="majorBidi"/>
        </w:rPr>
        <w:t>“</w:t>
      </w:r>
      <w:r w:rsidRPr="00852AD5">
        <w:rPr>
          <w:rFonts w:asciiTheme="majorBidi" w:eastAsiaTheme="minorEastAsia" w:hAnsiTheme="majorBidi" w:cstheme="majorBidi"/>
        </w:rPr>
        <w:t>Mandatory Reporters,</w:t>
      </w:r>
      <w:r w:rsidR="009848BA">
        <w:rPr>
          <w:rFonts w:asciiTheme="majorBidi" w:eastAsiaTheme="minorEastAsia" w:hAnsiTheme="majorBidi" w:cstheme="majorBidi"/>
        </w:rPr>
        <w:t>”</w:t>
      </w:r>
      <w:r w:rsidRPr="00852AD5">
        <w:rPr>
          <w:rFonts w:asciiTheme="majorBidi" w:eastAsiaTheme="minorEastAsia" w:hAnsiTheme="majorBidi" w:cstheme="majorBidi"/>
        </w:rPr>
        <w:t xml:space="preserve"> which means that they are required to report violations of Title IX to the Title IX Coordinator at UT Austin.</w:t>
      </w:r>
      <w:r w:rsidR="009848BA">
        <w:rPr>
          <w:rFonts w:asciiTheme="majorBidi" w:eastAsiaTheme="minorEastAsia" w:hAnsiTheme="majorBidi" w:cstheme="majorBidi"/>
        </w:rPr>
        <w:t xml:space="preserve"> All three of your course instructors are</w:t>
      </w:r>
      <w:r w:rsidRPr="00852AD5">
        <w:rPr>
          <w:rFonts w:asciiTheme="majorBidi" w:eastAsiaTheme="minorEastAsia" w:hAnsiTheme="majorBidi" w:cstheme="majorBidi"/>
          <w:b/>
          <w:bCs/>
        </w:rPr>
        <w:t xml:space="preserve"> Responsible Employee</w:t>
      </w:r>
      <w:r w:rsidR="009848BA">
        <w:rPr>
          <w:rFonts w:asciiTheme="majorBidi" w:eastAsiaTheme="minorEastAsia" w:hAnsiTheme="majorBidi" w:cstheme="majorBidi"/>
          <w:b/>
          <w:bCs/>
        </w:rPr>
        <w:t>s</w:t>
      </w:r>
      <w:r w:rsidRPr="00852AD5">
        <w:rPr>
          <w:rFonts w:asciiTheme="majorBidi" w:eastAsiaTheme="minorEastAsia" w:hAnsiTheme="majorBidi" w:cstheme="majorBidi"/>
          <w:b/>
          <w:bCs/>
        </w:rPr>
        <w:t xml:space="preserve"> and must report any Title IX related incidents</w:t>
      </w:r>
      <w:r w:rsidRPr="00852AD5">
        <w:rPr>
          <w:rFonts w:asciiTheme="majorBidi" w:eastAsiaTheme="minorEastAsia" w:hAnsiTheme="majorBidi" w:cstheme="majorBidi"/>
        </w:rPr>
        <w:t xml:space="preserve"> that are disclosed in writing, discussion, or one-on-one. Before talking with </w:t>
      </w:r>
      <w:r w:rsidR="009848BA">
        <w:rPr>
          <w:rFonts w:asciiTheme="majorBidi" w:eastAsiaTheme="minorEastAsia" w:hAnsiTheme="majorBidi" w:cstheme="majorBidi"/>
        </w:rPr>
        <w:t>us</w:t>
      </w:r>
      <w:r w:rsidRPr="00852AD5">
        <w:rPr>
          <w:rFonts w:asciiTheme="majorBidi" w:eastAsiaTheme="minorEastAsia" w:hAnsiTheme="majorBidi" w:cstheme="majorBidi"/>
        </w:rPr>
        <w:t>, or with any faculty or staff member about a Title IX related incident, be sure to ask whether they are a responsible employee. If you want to speak with someone for support or remedies without making an official report to the university, email </w:t>
      </w:r>
      <w:hyperlink r:id="rId14" w:history="1">
        <w:r w:rsidRPr="00852AD5">
          <w:rPr>
            <w:rFonts w:asciiTheme="majorBidi" w:eastAsiaTheme="minorEastAsia" w:hAnsiTheme="majorBidi" w:cstheme="majorBidi"/>
            <w:color w:val="DCA10D"/>
            <w:u w:val="single" w:color="DCA10D"/>
          </w:rPr>
          <w:t>advocate@austin.utexas.edu</w:t>
        </w:r>
      </w:hyperlink>
      <w:r w:rsidRPr="00852AD5">
        <w:rPr>
          <w:rFonts w:asciiTheme="majorBidi" w:eastAsiaTheme="minorEastAsia" w:hAnsiTheme="majorBidi" w:cstheme="majorBidi"/>
        </w:rPr>
        <w:t>. For more info about reporting options and resources, visit </w:t>
      </w:r>
      <w:hyperlink r:id="rId15" w:history="1">
        <w:r w:rsidRPr="00852AD5">
          <w:rPr>
            <w:rFonts w:asciiTheme="majorBidi" w:eastAsiaTheme="minorEastAsia" w:hAnsiTheme="majorBidi" w:cstheme="majorBidi"/>
            <w:color w:val="DCA10D"/>
            <w:u w:val="single" w:color="DCA10D"/>
          </w:rPr>
          <w:t>the campus resources page</w:t>
        </w:r>
      </w:hyperlink>
      <w:r w:rsidRPr="00852AD5">
        <w:rPr>
          <w:rFonts w:asciiTheme="majorBidi" w:eastAsiaTheme="minorEastAsia" w:hAnsiTheme="majorBidi" w:cstheme="majorBidi"/>
        </w:rPr>
        <w:t xml:space="preserve"> or e-mail the Title IX Office at  </w:t>
      </w:r>
      <w:hyperlink r:id="rId16" w:history="1">
        <w:r w:rsidRPr="00852AD5">
          <w:rPr>
            <w:rStyle w:val="Hyperlink"/>
            <w:rFonts w:asciiTheme="majorBidi" w:eastAsiaTheme="minorEastAsia" w:hAnsiTheme="majorBidi" w:cstheme="majorBidi"/>
          </w:rPr>
          <w:t>titleix@austin.utexas.edu</w:t>
        </w:r>
      </w:hyperlink>
      <w:r w:rsidRPr="00852AD5">
        <w:rPr>
          <w:rFonts w:asciiTheme="majorBidi" w:eastAsiaTheme="minorEastAsia" w:hAnsiTheme="majorBidi" w:cstheme="majorBidi"/>
        </w:rPr>
        <w:t>.</w:t>
      </w:r>
    </w:p>
    <w:p w14:paraId="2090B0C4" w14:textId="77777777" w:rsidR="00DA2425" w:rsidRPr="00852AD5" w:rsidRDefault="00DA2425" w:rsidP="00170F9F">
      <w:pPr>
        <w:pStyle w:val="Heading1"/>
      </w:pPr>
      <w:r w:rsidRPr="00852AD5">
        <w:t>Campus Carry</w:t>
      </w:r>
    </w:p>
    <w:p w14:paraId="69DA0A9E" w14:textId="5740C473" w:rsidR="00DA2425" w:rsidRPr="00852AD5" w:rsidRDefault="009848BA" w:rsidP="00DA2425">
      <w:pPr>
        <w:spacing w:before="100" w:beforeAutospacing="1" w:after="100" w:afterAutospacing="1"/>
        <w:rPr>
          <w:rFonts w:asciiTheme="majorBidi" w:hAnsiTheme="majorBidi" w:cstheme="majorBidi"/>
          <w:color w:val="000000"/>
        </w:rPr>
      </w:pPr>
      <w:r>
        <w:rPr>
          <w:rFonts w:asciiTheme="majorBidi" w:hAnsiTheme="majorBidi" w:cstheme="majorBidi"/>
          <w:color w:val="000000"/>
        </w:rPr>
        <w:t>“</w:t>
      </w:r>
      <w:r w:rsidR="00DA2425" w:rsidRPr="00852AD5">
        <w:rPr>
          <w:rFonts w:asciiTheme="majorBidi" w:hAnsiTheme="majorBidi" w:cstheme="majorBidi"/>
          <w:color w:val="000000"/>
        </w:rPr>
        <w:t>The University of Texas at Austin is committed to providing a safe environment for students, employees, university affiliates, and visitors, and to respecting the right of individuals who are licensed to carry a handgun as permitted by Texas state law.</w:t>
      </w:r>
      <w:r>
        <w:rPr>
          <w:rFonts w:asciiTheme="majorBidi" w:hAnsiTheme="majorBidi" w:cstheme="majorBidi"/>
          <w:color w:val="000000"/>
        </w:rPr>
        <w:t xml:space="preserve">”  </w:t>
      </w:r>
      <w:bookmarkStart w:id="29" w:name="tex2html60"/>
      <w:r w:rsidR="00DA2425" w:rsidRPr="00852AD5">
        <w:rPr>
          <w:rFonts w:asciiTheme="majorBidi" w:hAnsiTheme="majorBidi" w:cstheme="majorBidi"/>
          <w:color w:val="000000"/>
        </w:rPr>
        <w:fldChar w:fldCharType="begin"/>
      </w:r>
      <w:r w:rsidR="00DA2425" w:rsidRPr="00852AD5">
        <w:rPr>
          <w:rFonts w:asciiTheme="majorBidi" w:hAnsiTheme="majorBidi" w:cstheme="majorBidi"/>
          <w:color w:val="000000"/>
        </w:rPr>
        <w:instrText xml:space="preserve"> HYPERLINK "http://campuscarry.utexas.edu/students" </w:instrText>
      </w:r>
      <w:r w:rsidR="00DA2425" w:rsidRPr="00852AD5">
        <w:rPr>
          <w:rFonts w:asciiTheme="majorBidi" w:hAnsiTheme="majorBidi" w:cstheme="majorBidi"/>
          <w:color w:val="000000"/>
        </w:rPr>
        <w:fldChar w:fldCharType="separate"/>
      </w:r>
      <w:r w:rsidR="00DA2425" w:rsidRPr="00852AD5">
        <w:rPr>
          <w:rFonts w:asciiTheme="majorBidi" w:hAnsiTheme="majorBidi" w:cstheme="majorBidi"/>
          <w:color w:val="0000FF"/>
          <w:u w:val="single"/>
        </w:rPr>
        <w:t>More information</w:t>
      </w:r>
      <w:r w:rsidR="00DA2425" w:rsidRPr="00852AD5">
        <w:rPr>
          <w:rFonts w:asciiTheme="majorBidi" w:hAnsiTheme="majorBidi" w:cstheme="majorBidi"/>
          <w:color w:val="000000"/>
        </w:rPr>
        <w:fldChar w:fldCharType="end"/>
      </w:r>
      <w:bookmarkEnd w:id="29"/>
      <w:r w:rsidR="00DA2425" w:rsidRPr="00852AD5">
        <w:rPr>
          <w:rFonts w:asciiTheme="majorBidi" w:hAnsiTheme="majorBidi" w:cstheme="majorBidi"/>
          <w:color w:val="000000"/>
        </w:rPr>
        <w:t>.</w:t>
      </w:r>
    </w:p>
    <w:p w14:paraId="1EAD1E1D" w14:textId="77777777" w:rsidR="00161479" w:rsidRPr="00852AD5" w:rsidRDefault="00000000" w:rsidP="00DA2425">
      <w:pPr>
        <w:rPr>
          <w:rFonts w:asciiTheme="majorBidi" w:hAnsiTheme="majorBidi" w:cstheme="majorBidi"/>
        </w:rPr>
      </w:pPr>
    </w:p>
    <w:sectPr w:rsidR="00161479" w:rsidRPr="00852AD5" w:rsidSect="00E6773D">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66147" w14:textId="77777777" w:rsidR="00277848" w:rsidRDefault="00277848" w:rsidP="00F231F3">
      <w:r>
        <w:separator/>
      </w:r>
    </w:p>
  </w:endnote>
  <w:endnote w:type="continuationSeparator" w:id="0">
    <w:p w14:paraId="2F85D2FD" w14:textId="77777777" w:rsidR="00277848" w:rsidRDefault="00277848" w:rsidP="00F2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281A" w14:textId="77777777" w:rsidR="00277848" w:rsidRDefault="00277848" w:rsidP="00F231F3">
      <w:r>
        <w:separator/>
      </w:r>
    </w:p>
  </w:footnote>
  <w:footnote w:type="continuationSeparator" w:id="0">
    <w:p w14:paraId="427F9154" w14:textId="77777777" w:rsidR="00277848" w:rsidRDefault="00277848" w:rsidP="00F2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74B7" w14:textId="66732AF2" w:rsidR="00F231F3" w:rsidRDefault="00F231F3">
    <w:pPr>
      <w:pStyle w:val="Header"/>
    </w:pPr>
    <w:r>
      <w:rPr>
        <w:noProof/>
        <w:vertAlign w:val="subscript"/>
        <w:lang w:eastAsia="en-US"/>
      </w:rPr>
      <w:drawing>
        <wp:inline distT="0" distB="0" distL="0" distR="0" wp14:anchorId="6B437A46" wp14:editId="16B6D302">
          <wp:extent cx="4211217" cy="39760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a:blip r:embed="rId1"/>
                  <a:stretch>
                    <a:fillRect/>
                  </a:stretch>
                </pic:blipFill>
                <pic:spPr>
                  <a:xfrm>
                    <a:off x="0" y="0"/>
                    <a:ext cx="4526219" cy="4273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18E"/>
    <w:multiLevelType w:val="hybridMultilevel"/>
    <w:tmpl w:val="2D5C95BA"/>
    <w:lvl w:ilvl="0" w:tplc="DDD6EEC8">
      <w:numFmt w:val="bullet"/>
      <w:lvlText w:val=""/>
      <w:lvlJc w:val="left"/>
      <w:pPr>
        <w:ind w:left="720" w:hanging="360"/>
      </w:pPr>
      <w:rPr>
        <w:rFonts w:ascii="Symbol" w:eastAsia="Times New Roman"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65F5F"/>
    <w:multiLevelType w:val="hybridMultilevel"/>
    <w:tmpl w:val="EB8606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160A1C"/>
    <w:multiLevelType w:val="multilevel"/>
    <w:tmpl w:val="21FC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763BE"/>
    <w:multiLevelType w:val="multilevel"/>
    <w:tmpl w:val="9DBA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13467"/>
    <w:multiLevelType w:val="hybridMultilevel"/>
    <w:tmpl w:val="464C1F26"/>
    <w:lvl w:ilvl="0" w:tplc="6766510A">
      <w:numFmt w:val="decimalZero"/>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5696C30"/>
    <w:multiLevelType w:val="multilevel"/>
    <w:tmpl w:val="5B0EB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2C208C"/>
    <w:multiLevelType w:val="hybridMultilevel"/>
    <w:tmpl w:val="BE229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220580"/>
    <w:multiLevelType w:val="multilevel"/>
    <w:tmpl w:val="75CE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F08E9"/>
    <w:multiLevelType w:val="hybridMultilevel"/>
    <w:tmpl w:val="ECA2AEE4"/>
    <w:lvl w:ilvl="0" w:tplc="A0FEB696">
      <w:start w:val="1"/>
      <w:numFmt w:val="bullet"/>
      <w:lvlText w:val="v"/>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72569"/>
    <w:multiLevelType w:val="multilevel"/>
    <w:tmpl w:val="EACC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6030C"/>
    <w:multiLevelType w:val="hybridMultilevel"/>
    <w:tmpl w:val="2BA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0F5FCA"/>
    <w:multiLevelType w:val="hybridMultilevel"/>
    <w:tmpl w:val="0894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D79FA"/>
    <w:multiLevelType w:val="multilevel"/>
    <w:tmpl w:val="3EFA6348"/>
    <w:lvl w:ilvl="0">
      <w:start w:val="1"/>
      <w:numFmt w:val="bullet"/>
      <w:pStyle w:val="descriptions"/>
      <w:lvlText w:val="v"/>
      <w:lvlJc w:val="left"/>
      <w:pPr>
        <w:ind w:left="90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276733"/>
    <w:multiLevelType w:val="multilevel"/>
    <w:tmpl w:val="C244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232CAA"/>
    <w:multiLevelType w:val="hybridMultilevel"/>
    <w:tmpl w:val="5830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C5AF1"/>
    <w:multiLevelType w:val="hybridMultilevel"/>
    <w:tmpl w:val="218C3A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4FD45E7"/>
    <w:multiLevelType w:val="multilevel"/>
    <w:tmpl w:val="D81A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2F3577"/>
    <w:multiLevelType w:val="hybridMultilevel"/>
    <w:tmpl w:val="9C30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FD3521"/>
    <w:multiLevelType w:val="hybridMultilevel"/>
    <w:tmpl w:val="F5E26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206D45"/>
    <w:multiLevelType w:val="hybridMultilevel"/>
    <w:tmpl w:val="6CE8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F13BE"/>
    <w:multiLevelType w:val="hybridMultilevel"/>
    <w:tmpl w:val="2D488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246ED"/>
    <w:multiLevelType w:val="multilevel"/>
    <w:tmpl w:val="5372CD20"/>
    <w:lvl w:ilvl="0">
      <w:start w:val="1"/>
      <w:numFmt w:val="bullet"/>
      <w:lvlText w:val="v"/>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791506">
    <w:abstractNumId w:val="12"/>
  </w:num>
  <w:num w:numId="2" w16cid:durableId="509487196">
    <w:abstractNumId w:val="9"/>
  </w:num>
  <w:num w:numId="3" w16cid:durableId="1017386027">
    <w:abstractNumId w:val="8"/>
  </w:num>
  <w:num w:numId="4" w16cid:durableId="1453398583">
    <w:abstractNumId w:val="21"/>
  </w:num>
  <w:num w:numId="5" w16cid:durableId="1408073134">
    <w:abstractNumId w:val="16"/>
  </w:num>
  <w:num w:numId="6" w16cid:durableId="1522351058">
    <w:abstractNumId w:val="2"/>
  </w:num>
  <w:num w:numId="7" w16cid:durableId="1356884495">
    <w:abstractNumId w:val="13"/>
  </w:num>
  <w:num w:numId="8" w16cid:durableId="5183078">
    <w:abstractNumId w:val="7"/>
  </w:num>
  <w:num w:numId="9" w16cid:durableId="479809082">
    <w:abstractNumId w:val="3"/>
  </w:num>
  <w:num w:numId="10" w16cid:durableId="1356686532">
    <w:abstractNumId w:val="5"/>
  </w:num>
  <w:num w:numId="11" w16cid:durableId="420877846">
    <w:abstractNumId w:val="0"/>
  </w:num>
  <w:num w:numId="12" w16cid:durableId="443618469">
    <w:abstractNumId w:val="1"/>
  </w:num>
  <w:num w:numId="13" w16cid:durableId="719283408">
    <w:abstractNumId w:val="10"/>
  </w:num>
  <w:num w:numId="14" w16cid:durableId="1644698825">
    <w:abstractNumId w:val="18"/>
  </w:num>
  <w:num w:numId="15" w16cid:durableId="1402367048">
    <w:abstractNumId w:val="20"/>
  </w:num>
  <w:num w:numId="16" w16cid:durableId="1366322632">
    <w:abstractNumId w:val="6"/>
  </w:num>
  <w:num w:numId="17" w16cid:durableId="1393181">
    <w:abstractNumId w:val="14"/>
  </w:num>
  <w:num w:numId="18" w16cid:durableId="201288457">
    <w:abstractNumId w:val="19"/>
  </w:num>
  <w:num w:numId="19" w16cid:durableId="2120561385">
    <w:abstractNumId w:val="11"/>
  </w:num>
  <w:num w:numId="20" w16cid:durableId="2087262593">
    <w:abstractNumId w:val="15"/>
  </w:num>
  <w:num w:numId="21" w16cid:durableId="1161893129">
    <w:abstractNumId w:val="17"/>
  </w:num>
  <w:num w:numId="22" w16cid:durableId="2113477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1F3"/>
    <w:rsid w:val="000127B3"/>
    <w:rsid w:val="00017472"/>
    <w:rsid w:val="00050848"/>
    <w:rsid w:val="000540C8"/>
    <w:rsid w:val="00085B87"/>
    <w:rsid w:val="000A5199"/>
    <w:rsid w:val="000C51C5"/>
    <w:rsid w:val="000F7DC2"/>
    <w:rsid w:val="00104757"/>
    <w:rsid w:val="00105E98"/>
    <w:rsid w:val="00125136"/>
    <w:rsid w:val="0015612E"/>
    <w:rsid w:val="00170F9F"/>
    <w:rsid w:val="001D5ED5"/>
    <w:rsid w:val="001D7665"/>
    <w:rsid w:val="00205916"/>
    <w:rsid w:val="00210E59"/>
    <w:rsid w:val="00236C66"/>
    <w:rsid w:val="002419AE"/>
    <w:rsid w:val="002423A6"/>
    <w:rsid w:val="00271AB7"/>
    <w:rsid w:val="00273BEE"/>
    <w:rsid w:val="00277848"/>
    <w:rsid w:val="002F1D2C"/>
    <w:rsid w:val="00317AFD"/>
    <w:rsid w:val="003476B5"/>
    <w:rsid w:val="00353626"/>
    <w:rsid w:val="003A203E"/>
    <w:rsid w:val="003C6E54"/>
    <w:rsid w:val="003E1D5F"/>
    <w:rsid w:val="003E4B5A"/>
    <w:rsid w:val="004025DB"/>
    <w:rsid w:val="0043522E"/>
    <w:rsid w:val="00460B0D"/>
    <w:rsid w:val="00481E97"/>
    <w:rsid w:val="004B2092"/>
    <w:rsid w:val="004C63C0"/>
    <w:rsid w:val="005031E4"/>
    <w:rsid w:val="005A27E0"/>
    <w:rsid w:val="005A7BFE"/>
    <w:rsid w:val="00611EEB"/>
    <w:rsid w:val="00614C0B"/>
    <w:rsid w:val="0062003A"/>
    <w:rsid w:val="0065122E"/>
    <w:rsid w:val="00671196"/>
    <w:rsid w:val="006C4A5E"/>
    <w:rsid w:val="006E4A81"/>
    <w:rsid w:val="006F68CD"/>
    <w:rsid w:val="00701B44"/>
    <w:rsid w:val="00716FDB"/>
    <w:rsid w:val="00725CBA"/>
    <w:rsid w:val="00776F54"/>
    <w:rsid w:val="007A073D"/>
    <w:rsid w:val="007B0FC8"/>
    <w:rsid w:val="007C0562"/>
    <w:rsid w:val="00820140"/>
    <w:rsid w:val="00852AD5"/>
    <w:rsid w:val="00863631"/>
    <w:rsid w:val="00865047"/>
    <w:rsid w:val="008B0FBC"/>
    <w:rsid w:val="008B1281"/>
    <w:rsid w:val="008E3A1E"/>
    <w:rsid w:val="009155DB"/>
    <w:rsid w:val="00922672"/>
    <w:rsid w:val="0092295D"/>
    <w:rsid w:val="00930B62"/>
    <w:rsid w:val="00933895"/>
    <w:rsid w:val="009352BA"/>
    <w:rsid w:val="009841BF"/>
    <w:rsid w:val="009848BA"/>
    <w:rsid w:val="009B4054"/>
    <w:rsid w:val="009B7F49"/>
    <w:rsid w:val="009E2A45"/>
    <w:rsid w:val="009F09C0"/>
    <w:rsid w:val="009F1D73"/>
    <w:rsid w:val="009F77B3"/>
    <w:rsid w:val="00A20CDE"/>
    <w:rsid w:val="00A27318"/>
    <w:rsid w:val="00A47EBC"/>
    <w:rsid w:val="00A553F9"/>
    <w:rsid w:val="00A578C7"/>
    <w:rsid w:val="00A616B6"/>
    <w:rsid w:val="00A6623A"/>
    <w:rsid w:val="00AA450B"/>
    <w:rsid w:val="00AA7312"/>
    <w:rsid w:val="00B37848"/>
    <w:rsid w:val="00B65A17"/>
    <w:rsid w:val="00B96EE1"/>
    <w:rsid w:val="00BA290F"/>
    <w:rsid w:val="00BA2CC8"/>
    <w:rsid w:val="00BC0DF4"/>
    <w:rsid w:val="00BC65B7"/>
    <w:rsid w:val="00BD5B33"/>
    <w:rsid w:val="00BF0023"/>
    <w:rsid w:val="00C12D39"/>
    <w:rsid w:val="00CA1C9A"/>
    <w:rsid w:val="00CA5FF6"/>
    <w:rsid w:val="00CB44C0"/>
    <w:rsid w:val="00CB4BF3"/>
    <w:rsid w:val="00CF73F6"/>
    <w:rsid w:val="00D0721A"/>
    <w:rsid w:val="00D20E7D"/>
    <w:rsid w:val="00D44A80"/>
    <w:rsid w:val="00D66641"/>
    <w:rsid w:val="00DA2425"/>
    <w:rsid w:val="00DA5695"/>
    <w:rsid w:val="00DC2959"/>
    <w:rsid w:val="00E27E36"/>
    <w:rsid w:val="00E402F6"/>
    <w:rsid w:val="00E6773D"/>
    <w:rsid w:val="00E71916"/>
    <w:rsid w:val="00EA2F61"/>
    <w:rsid w:val="00ED198D"/>
    <w:rsid w:val="00EF6B47"/>
    <w:rsid w:val="00F068B7"/>
    <w:rsid w:val="00F231F3"/>
    <w:rsid w:val="00F35E5D"/>
    <w:rsid w:val="00FA13A1"/>
    <w:rsid w:val="00FA325F"/>
    <w:rsid w:val="00FC5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DF0A"/>
  <w15:chartTrackingRefBased/>
  <w15:docId w15:val="{F2062E98-F8D1-1946-806E-713849C2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21A"/>
    <w:rPr>
      <w:rFonts w:ascii="Times New Roman" w:eastAsia="Times New Roman" w:hAnsi="Times New Roman" w:cs="Times New Roman"/>
    </w:rPr>
  </w:style>
  <w:style w:type="paragraph" w:styleId="Heading1">
    <w:name w:val="heading 1"/>
    <w:basedOn w:val="Normal"/>
    <w:next w:val="Normal"/>
    <w:link w:val="Heading1Char"/>
    <w:uiPriority w:val="9"/>
    <w:qFormat/>
    <w:rsid w:val="00170F9F"/>
    <w:pPr>
      <w:keepNext/>
      <w:spacing w:before="100" w:beforeAutospacing="1"/>
      <w:outlineLvl w:val="0"/>
    </w:pPr>
    <w:rPr>
      <w:rFonts w:asciiTheme="majorBidi" w:hAnsiTheme="majorBidi" w:cstheme="majorBidi"/>
      <w:b/>
      <w:bCs/>
      <w:i/>
      <w:iCs/>
      <w:color w:val="000000"/>
      <w:sz w:val="28"/>
      <w:szCs w:val="28"/>
    </w:rPr>
  </w:style>
  <w:style w:type="paragraph" w:styleId="Heading2">
    <w:name w:val="heading 2"/>
    <w:basedOn w:val="Normal"/>
    <w:link w:val="Heading2Char"/>
    <w:uiPriority w:val="9"/>
    <w:qFormat/>
    <w:rsid w:val="00E27E36"/>
    <w:pPr>
      <w:keepNext/>
      <w:spacing w:before="240"/>
      <w:outlineLvl w:val="1"/>
    </w:pPr>
    <w:rPr>
      <w:rFonts w:asciiTheme="majorBidi" w:hAnsiTheme="majorBidi" w:cstheme="majorBidi"/>
      <w:b/>
      <w:bCs/>
      <w:color w:val="000000" w:themeColor="text1"/>
      <w:spacing w:val="-1"/>
      <w:bdr w:val="none" w:sz="0" w:space="0" w:color="auto" w:frame="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BA290F"/>
    <w:pPr>
      <w:spacing w:before="120" w:after="120"/>
    </w:pPr>
    <w:rPr>
      <w:rFonts w:asciiTheme="majorHAnsi" w:hAnsiTheme="majorHAnsi"/>
      <w:b/>
      <w:bCs/>
      <w:caps/>
      <w:sz w:val="20"/>
    </w:rPr>
  </w:style>
  <w:style w:type="paragraph" w:styleId="TOC2">
    <w:name w:val="toc 2"/>
    <w:basedOn w:val="Normal"/>
    <w:next w:val="Normal"/>
    <w:autoRedefine/>
    <w:uiPriority w:val="39"/>
    <w:unhideWhenUsed/>
    <w:qFormat/>
    <w:rsid w:val="00BA290F"/>
    <w:pPr>
      <w:tabs>
        <w:tab w:val="left" w:pos="960"/>
        <w:tab w:val="right" w:leader="dot" w:pos="10214"/>
      </w:tabs>
      <w:ind w:left="240"/>
    </w:pPr>
    <w:rPr>
      <w:rFonts w:asciiTheme="majorHAnsi" w:hAnsiTheme="majorHAnsi" w:cstheme="majorHAnsi"/>
      <w:noProof/>
      <w:sz w:val="20"/>
    </w:rPr>
  </w:style>
  <w:style w:type="paragraph" w:customStyle="1" w:styleId="first">
    <w:name w:val="first"/>
    <w:basedOn w:val="Normal"/>
    <w:rsid w:val="00F231F3"/>
    <w:pPr>
      <w:spacing w:before="100" w:beforeAutospacing="1" w:after="100" w:afterAutospacing="1"/>
    </w:pPr>
  </w:style>
  <w:style w:type="character" w:customStyle="1" w:styleId="apple-converted-space">
    <w:name w:val="apple-converted-space"/>
    <w:basedOn w:val="DefaultParagraphFont"/>
    <w:rsid w:val="00F231F3"/>
  </w:style>
  <w:style w:type="paragraph" w:customStyle="1" w:styleId="last">
    <w:name w:val="last"/>
    <w:basedOn w:val="Normal"/>
    <w:rsid w:val="00F231F3"/>
    <w:pPr>
      <w:spacing w:before="100" w:beforeAutospacing="1" w:after="100" w:afterAutospacing="1"/>
    </w:pPr>
  </w:style>
  <w:style w:type="paragraph" w:styleId="Header">
    <w:name w:val="header"/>
    <w:basedOn w:val="Normal"/>
    <w:link w:val="HeaderChar"/>
    <w:uiPriority w:val="99"/>
    <w:unhideWhenUsed/>
    <w:rsid w:val="00F231F3"/>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F231F3"/>
  </w:style>
  <w:style w:type="paragraph" w:styleId="Footer">
    <w:name w:val="footer"/>
    <w:basedOn w:val="Normal"/>
    <w:link w:val="FooterChar"/>
    <w:uiPriority w:val="99"/>
    <w:unhideWhenUsed/>
    <w:rsid w:val="00F231F3"/>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F231F3"/>
  </w:style>
  <w:style w:type="paragraph" w:styleId="ListParagraph">
    <w:name w:val="List Paragraph"/>
    <w:basedOn w:val="Normal"/>
    <w:uiPriority w:val="34"/>
    <w:qFormat/>
    <w:rsid w:val="00922672"/>
    <w:pPr>
      <w:ind w:left="720"/>
      <w:contextualSpacing/>
    </w:pPr>
    <w:rPr>
      <w:rFonts w:asciiTheme="minorHAnsi" w:eastAsiaTheme="minorEastAsia" w:hAnsiTheme="minorHAnsi" w:cstheme="minorBidi"/>
    </w:rPr>
  </w:style>
  <w:style w:type="paragraph" w:styleId="NormalWeb">
    <w:name w:val="Normal (Web)"/>
    <w:basedOn w:val="Normal"/>
    <w:uiPriority w:val="99"/>
    <w:unhideWhenUsed/>
    <w:rsid w:val="00DA2425"/>
    <w:pPr>
      <w:spacing w:before="100" w:beforeAutospacing="1" w:after="100" w:afterAutospacing="1"/>
    </w:pPr>
  </w:style>
  <w:style w:type="character" w:styleId="Hyperlink">
    <w:name w:val="Hyperlink"/>
    <w:basedOn w:val="DefaultParagraphFont"/>
    <w:uiPriority w:val="99"/>
    <w:unhideWhenUsed/>
    <w:rsid w:val="00DA2425"/>
    <w:rPr>
      <w:color w:val="0000FF"/>
      <w:u w:val="single"/>
    </w:rPr>
  </w:style>
  <w:style w:type="character" w:customStyle="1" w:styleId="Heading2Char">
    <w:name w:val="Heading 2 Char"/>
    <w:basedOn w:val="DefaultParagraphFont"/>
    <w:link w:val="Heading2"/>
    <w:uiPriority w:val="9"/>
    <w:rsid w:val="00E27E36"/>
    <w:rPr>
      <w:rFonts w:asciiTheme="majorBidi" w:eastAsia="Times New Roman" w:hAnsiTheme="majorBidi" w:cstheme="majorBidi"/>
      <w:b/>
      <w:bCs/>
      <w:color w:val="000000" w:themeColor="text1"/>
      <w:spacing w:val="-1"/>
      <w:bdr w:val="none" w:sz="0" w:space="0" w:color="auto" w:frame="1"/>
    </w:rPr>
  </w:style>
  <w:style w:type="paragraph" w:customStyle="1" w:styleId="xmsonormal">
    <w:name w:val="x_msonormal"/>
    <w:basedOn w:val="Normal"/>
    <w:rsid w:val="0015612E"/>
    <w:pPr>
      <w:spacing w:before="100" w:beforeAutospacing="1" w:after="100" w:afterAutospacing="1"/>
    </w:pPr>
  </w:style>
  <w:style w:type="character" w:customStyle="1" w:styleId="mark493bdpbzt">
    <w:name w:val="mark493bdpbzt"/>
    <w:basedOn w:val="DefaultParagraphFont"/>
    <w:rsid w:val="0015612E"/>
  </w:style>
  <w:style w:type="character" w:customStyle="1" w:styleId="Heading1Char">
    <w:name w:val="Heading 1 Char"/>
    <w:basedOn w:val="DefaultParagraphFont"/>
    <w:link w:val="Heading1"/>
    <w:uiPriority w:val="9"/>
    <w:rsid w:val="00170F9F"/>
    <w:rPr>
      <w:rFonts w:asciiTheme="majorBidi" w:eastAsia="Times New Roman" w:hAnsiTheme="majorBidi" w:cstheme="majorBidi"/>
      <w:b/>
      <w:bCs/>
      <w:i/>
      <w:iCs/>
      <w:color w:val="000000"/>
      <w:sz w:val="28"/>
      <w:szCs w:val="28"/>
    </w:rPr>
  </w:style>
  <w:style w:type="character" w:customStyle="1" w:styleId="UnresolvedMention1">
    <w:name w:val="Unresolved Mention1"/>
    <w:basedOn w:val="DefaultParagraphFont"/>
    <w:uiPriority w:val="99"/>
    <w:semiHidden/>
    <w:unhideWhenUsed/>
    <w:rsid w:val="000A5199"/>
    <w:rPr>
      <w:color w:val="605E5C"/>
      <w:shd w:val="clear" w:color="auto" w:fill="E1DFDD"/>
    </w:rPr>
  </w:style>
  <w:style w:type="paragraph" w:customStyle="1" w:styleId="descriptions">
    <w:name w:val="descriptions"/>
    <w:basedOn w:val="Heading2"/>
    <w:link w:val="descriptionsChar"/>
    <w:qFormat/>
    <w:rsid w:val="00481E97"/>
    <w:pPr>
      <w:numPr>
        <w:numId w:val="1"/>
      </w:numPr>
      <w:spacing w:before="0"/>
      <w:ind w:left="720"/>
    </w:pPr>
    <w:rPr>
      <w:b w:val="0"/>
      <w:bCs w:val="0"/>
      <w:i/>
      <w:iCs/>
      <w:color w:val="5B9BD5" w:themeColor="accent5"/>
    </w:rPr>
  </w:style>
  <w:style w:type="character" w:customStyle="1" w:styleId="descriptionsChar">
    <w:name w:val="descriptions Char"/>
    <w:basedOn w:val="Heading2Char"/>
    <w:link w:val="descriptions"/>
    <w:rsid w:val="00481E97"/>
    <w:rPr>
      <w:rFonts w:asciiTheme="majorBidi" w:eastAsia="Times New Roman" w:hAnsiTheme="majorBidi" w:cstheme="majorBidi"/>
      <w:b w:val="0"/>
      <w:bCs w:val="0"/>
      <w:i/>
      <w:iCs/>
      <w:color w:val="5B9BD5" w:themeColor="accent5"/>
      <w:spacing w:val="-1"/>
      <w:bdr w:val="none" w:sz="0" w:space="0" w:color="auto" w:frame="1"/>
    </w:rPr>
  </w:style>
  <w:style w:type="character" w:styleId="FollowedHyperlink">
    <w:name w:val="FollowedHyperlink"/>
    <w:basedOn w:val="DefaultParagraphFont"/>
    <w:uiPriority w:val="99"/>
    <w:semiHidden/>
    <w:unhideWhenUsed/>
    <w:rsid w:val="009848BA"/>
    <w:rPr>
      <w:color w:val="954F72" w:themeColor="followedHyperlink"/>
      <w:u w:val="single"/>
    </w:rPr>
  </w:style>
  <w:style w:type="paragraph" w:styleId="Revision">
    <w:name w:val="Revision"/>
    <w:hidden/>
    <w:uiPriority w:val="99"/>
    <w:semiHidden/>
    <w:rsid w:val="00353626"/>
    <w:rPr>
      <w:rFonts w:ascii="Times New Roman" w:eastAsia="Times New Roman" w:hAnsi="Times New Roman" w:cs="Times New Roman"/>
    </w:rPr>
  </w:style>
  <w:style w:type="paragraph" w:styleId="BodyText">
    <w:name w:val="Body Text"/>
    <w:basedOn w:val="Normal"/>
    <w:link w:val="BodyTextChar"/>
    <w:uiPriority w:val="99"/>
    <w:semiHidden/>
    <w:unhideWhenUsed/>
    <w:rsid w:val="00863631"/>
    <w:pPr>
      <w:spacing w:after="120"/>
    </w:pPr>
  </w:style>
  <w:style w:type="character" w:customStyle="1" w:styleId="BodyTextChar">
    <w:name w:val="Body Text Char"/>
    <w:basedOn w:val="DefaultParagraphFont"/>
    <w:link w:val="BodyText"/>
    <w:uiPriority w:val="99"/>
    <w:semiHidden/>
    <w:rsid w:val="00863631"/>
    <w:rPr>
      <w:rFonts w:ascii="Times New Roman" w:eastAsia="Times New Roman" w:hAnsi="Times New Roman" w:cs="Times New Roman"/>
    </w:rPr>
  </w:style>
  <w:style w:type="paragraph" w:customStyle="1" w:styleId="tableparagraph">
    <w:name w:val="tableparagraph"/>
    <w:basedOn w:val="Normal"/>
    <w:rsid w:val="00FA325F"/>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4134">
      <w:bodyDiv w:val="1"/>
      <w:marLeft w:val="0"/>
      <w:marRight w:val="0"/>
      <w:marTop w:val="0"/>
      <w:marBottom w:val="0"/>
      <w:divBdr>
        <w:top w:val="none" w:sz="0" w:space="0" w:color="auto"/>
        <w:left w:val="none" w:sz="0" w:space="0" w:color="auto"/>
        <w:bottom w:val="none" w:sz="0" w:space="0" w:color="auto"/>
        <w:right w:val="none" w:sz="0" w:space="0" w:color="auto"/>
      </w:divBdr>
    </w:div>
    <w:div w:id="63643665">
      <w:bodyDiv w:val="1"/>
      <w:marLeft w:val="0"/>
      <w:marRight w:val="0"/>
      <w:marTop w:val="0"/>
      <w:marBottom w:val="0"/>
      <w:divBdr>
        <w:top w:val="none" w:sz="0" w:space="0" w:color="auto"/>
        <w:left w:val="none" w:sz="0" w:space="0" w:color="auto"/>
        <w:bottom w:val="none" w:sz="0" w:space="0" w:color="auto"/>
        <w:right w:val="none" w:sz="0" w:space="0" w:color="auto"/>
      </w:divBdr>
    </w:div>
    <w:div w:id="95834043">
      <w:bodyDiv w:val="1"/>
      <w:marLeft w:val="0"/>
      <w:marRight w:val="0"/>
      <w:marTop w:val="0"/>
      <w:marBottom w:val="0"/>
      <w:divBdr>
        <w:top w:val="none" w:sz="0" w:space="0" w:color="auto"/>
        <w:left w:val="none" w:sz="0" w:space="0" w:color="auto"/>
        <w:bottom w:val="none" w:sz="0" w:space="0" w:color="auto"/>
        <w:right w:val="none" w:sz="0" w:space="0" w:color="auto"/>
      </w:divBdr>
    </w:div>
    <w:div w:id="177238001">
      <w:bodyDiv w:val="1"/>
      <w:marLeft w:val="0"/>
      <w:marRight w:val="0"/>
      <w:marTop w:val="0"/>
      <w:marBottom w:val="0"/>
      <w:divBdr>
        <w:top w:val="none" w:sz="0" w:space="0" w:color="auto"/>
        <w:left w:val="none" w:sz="0" w:space="0" w:color="auto"/>
        <w:bottom w:val="none" w:sz="0" w:space="0" w:color="auto"/>
        <w:right w:val="none" w:sz="0" w:space="0" w:color="auto"/>
      </w:divBdr>
    </w:div>
    <w:div w:id="271940106">
      <w:bodyDiv w:val="1"/>
      <w:marLeft w:val="0"/>
      <w:marRight w:val="0"/>
      <w:marTop w:val="0"/>
      <w:marBottom w:val="0"/>
      <w:divBdr>
        <w:top w:val="none" w:sz="0" w:space="0" w:color="auto"/>
        <w:left w:val="none" w:sz="0" w:space="0" w:color="auto"/>
        <w:bottom w:val="none" w:sz="0" w:space="0" w:color="auto"/>
        <w:right w:val="none" w:sz="0" w:space="0" w:color="auto"/>
      </w:divBdr>
    </w:div>
    <w:div w:id="401486227">
      <w:bodyDiv w:val="1"/>
      <w:marLeft w:val="0"/>
      <w:marRight w:val="0"/>
      <w:marTop w:val="0"/>
      <w:marBottom w:val="0"/>
      <w:divBdr>
        <w:top w:val="none" w:sz="0" w:space="0" w:color="auto"/>
        <w:left w:val="none" w:sz="0" w:space="0" w:color="auto"/>
        <w:bottom w:val="none" w:sz="0" w:space="0" w:color="auto"/>
        <w:right w:val="none" w:sz="0" w:space="0" w:color="auto"/>
      </w:divBdr>
    </w:div>
    <w:div w:id="521894476">
      <w:bodyDiv w:val="1"/>
      <w:marLeft w:val="0"/>
      <w:marRight w:val="0"/>
      <w:marTop w:val="0"/>
      <w:marBottom w:val="0"/>
      <w:divBdr>
        <w:top w:val="none" w:sz="0" w:space="0" w:color="auto"/>
        <w:left w:val="none" w:sz="0" w:space="0" w:color="auto"/>
        <w:bottom w:val="none" w:sz="0" w:space="0" w:color="auto"/>
        <w:right w:val="none" w:sz="0" w:space="0" w:color="auto"/>
      </w:divBdr>
    </w:div>
    <w:div w:id="546987065">
      <w:bodyDiv w:val="1"/>
      <w:marLeft w:val="0"/>
      <w:marRight w:val="0"/>
      <w:marTop w:val="0"/>
      <w:marBottom w:val="0"/>
      <w:divBdr>
        <w:top w:val="none" w:sz="0" w:space="0" w:color="auto"/>
        <w:left w:val="none" w:sz="0" w:space="0" w:color="auto"/>
        <w:bottom w:val="none" w:sz="0" w:space="0" w:color="auto"/>
        <w:right w:val="none" w:sz="0" w:space="0" w:color="auto"/>
      </w:divBdr>
    </w:div>
    <w:div w:id="635263310">
      <w:bodyDiv w:val="1"/>
      <w:marLeft w:val="0"/>
      <w:marRight w:val="0"/>
      <w:marTop w:val="0"/>
      <w:marBottom w:val="0"/>
      <w:divBdr>
        <w:top w:val="none" w:sz="0" w:space="0" w:color="auto"/>
        <w:left w:val="none" w:sz="0" w:space="0" w:color="auto"/>
        <w:bottom w:val="none" w:sz="0" w:space="0" w:color="auto"/>
        <w:right w:val="none" w:sz="0" w:space="0" w:color="auto"/>
      </w:divBdr>
    </w:div>
    <w:div w:id="791752568">
      <w:bodyDiv w:val="1"/>
      <w:marLeft w:val="0"/>
      <w:marRight w:val="0"/>
      <w:marTop w:val="0"/>
      <w:marBottom w:val="0"/>
      <w:divBdr>
        <w:top w:val="none" w:sz="0" w:space="0" w:color="auto"/>
        <w:left w:val="none" w:sz="0" w:space="0" w:color="auto"/>
        <w:bottom w:val="none" w:sz="0" w:space="0" w:color="auto"/>
        <w:right w:val="none" w:sz="0" w:space="0" w:color="auto"/>
      </w:divBdr>
    </w:div>
    <w:div w:id="859781476">
      <w:bodyDiv w:val="1"/>
      <w:marLeft w:val="0"/>
      <w:marRight w:val="0"/>
      <w:marTop w:val="0"/>
      <w:marBottom w:val="0"/>
      <w:divBdr>
        <w:top w:val="none" w:sz="0" w:space="0" w:color="auto"/>
        <w:left w:val="none" w:sz="0" w:space="0" w:color="auto"/>
        <w:bottom w:val="none" w:sz="0" w:space="0" w:color="auto"/>
        <w:right w:val="none" w:sz="0" w:space="0" w:color="auto"/>
      </w:divBdr>
    </w:div>
    <w:div w:id="1286886768">
      <w:bodyDiv w:val="1"/>
      <w:marLeft w:val="0"/>
      <w:marRight w:val="0"/>
      <w:marTop w:val="0"/>
      <w:marBottom w:val="0"/>
      <w:divBdr>
        <w:top w:val="none" w:sz="0" w:space="0" w:color="auto"/>
        <w:left w:val="none" w:sz="0" w:space="0" w:color="auto"/>
        <w:bottom w:val="none" w:sz="0" w:space="0" w:color="auto"/>
        <w:right w:val="none" w:sz="0" w:space="0" w:color="auto"/>
      </w:divBdr>
    </w:div>
    <w:div w:id="1389188232">
      <w:bodyDiv w:val="1"/>
      <w:marLeft w:val="0"/>
      <w:marRight w:val="0"/>
      <w:marTop w:val="0"/>
      <w:marBottom w:val="0"/>
      <w:divBdr>
        <w:top w:val="none" w:sz="0" w:space="0" w:color="auto"/>
        <w:left w:val="none" w:sz="0" w:space="0" w:color="auto"/>
        <w:bottom w:val="none" w:sz="0" w:space="0" w:color="auto"/>
        <w:right w:val="none" w:sz="0" w:space="0" w:color="auto"/>
      </w:divBdr>
    </w:div>
    <w:div w:id="1404255091">
      <w:bodyDiv w:val="1"/>
      <w:marLeft w:val="0"/>
      <w:marRight w:val="0"/>
      <w:marTop w:val="0"/>
      <w:marBottom w:val="0"/>
      <w:divBdr>
        <w:top w:val="none" w:sz="0" w:space="0" w:color="auto"/>
        <w:left w:val="none" w:sz="0" w:space="0" w:color="auto"/>
        <w:bottom w:val="none" w:sz="0" w:space="0" w:color="auto"/>
        <w:right w:val="none" w:sz="0" w:space="0" w:color="auto"/>
      </w:divBdr>
    </w:div>
    <w:div w:id="1586528234">
      <w:bodyDiv w:val="1"/>
      <w:marLeft w:val="0"/>
      <w:marRight w:val="0"/>
      <w:marTop w:val="0"/>
      <w:marBottom w:val="0"/>
      <w:divBdr>
        <w:top w:val="none" w:sz="0" w:space="0" w:color="auto"/>
        <w:left w:val="none" w:sz="0" w:space="0" w:color="auto"/>
        <w:bottom w:val="none" w:sz="0" w:space="0" w:color="auto"/>
        <w:right w:val="none" w:sz="0" w:space="0" w:color="auto"/>
      </w:divBdr>
    </w:div>
    <w:div w:id="182257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ley@ahunterco.com" TargetMode="External"/><Relationship Id="rId13" Type="http://schemas.openxmlformats.org/officeDocument/2006/relationships/hyperlink" Target="https://diversity.utexas.edu/disability/psychological-disabilities-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seyin.Tanriverdi@mccombs.utexas.edu" TargetMode="External"/><Relationship Id="rId12" Type="http://schemas.openxmlformats.org/officeDocument/2006/relationships/hyperlink" Target="https://diversity.utexas.edu/disability/adh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titleix@austin.utexas.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anofstudents.utexas.edu/conduct/" TargetMode="External"/><Relationship Id="rId5" Type="http://schemas.openxmlformats.org/officeDocument/2006/relationships/footnotes" Target="footnotes.xml"/><Relationship Id="rId15" Type="http://schemas.openxmlformats.org/officeDocument/2006/relationships/hyperlink" Target="https://titleix.utexas.edu/campus-resources" TargetMode="External"/><Relationship Id="rId10" Type="http://schemas.openxmlformats.org/officeDocument/2006/relationships/hyperlink" Target="https://hbsp.harvard.edu/import/73768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kellison@ic2.utexas.edu" TargetMode="External"/><Relationship Id="rId14" Type="http://schemas.openxmlformats.org/officeDocument/2006/relationships/hyperlink" Target="mailto:advocate@austin.utexa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15</Pages>
  <Words>4935</Words>
  <Characters>28130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Bruce Kellison</cp:lastModifiedBy>
  <cp:revision>16</cp:revision>
  <dcterms:created xsi:type="dcterms:W3CDTF">2022-07-29T16:07:00Z</dcterms:created>
  <dcterms:modified xsi:type="dcterms:W3CDTF">2022-07-29T17:39:00Z</dcterms:modified>
</cp:coreProperties>
</file>