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FCCD" w14:textId="0CBA0ABA" w:rsidR="0047358A" w:rsidRPr="00A808E0" w:rsidRDefault="00645E77">
      <w:pPr>
        <w:jc w:val="center"/>
        <w:rPr>
          <w:b/>
        </w:rPr>
      </w:pPr>
      <w:r w:rsidRPr="00A808E0">
        <w:rPr>
          <w:b/>
        </w:rPr>
        <w:t>INF391D.10 Survey of Information Studies</w:t>
      </w:r>
      <w:r w:rsidR="008F7FC4" w:rsidRPr="00A808E0">
        <w:rPr>
          <w:b/>
        </w:rPr>
        <w:t xml:space="preserve">, Fall </w:t>
      </w:r>
      <w:r w:rsidR="00360BE6" w:rsidRPr="00A808E0">
        <w:rPr>
          <w:b/>
        </w:rPr>
        <w:t>202</w:t>
      </w:r>
      <w:r w:rsidR="000C18DA" w:rsidRPr="00A808E0">
        <w:rPr>
          <w:b/>
        </w:rPr>
        <w:t>4</w:t>
      </w:r>
    </w:p>
    <w:p w14:paraId="217E2D13" w14:textId="77777777" w:rsidR="0047358A" w:rsidRPr="00A808E0" w:rsidRDefault="00645E77">
      <w:pPr>
        <w:jc w:val="center"/>
      </w:pPr>
      <w:r w:rsidRPr="00A808E0">
        <w:t>School of Information, UT-Austin</w:t>
      </w:r>
    </w:p>
    <w:p w14:paraId="0093FB43" w14:textId="38C4D274" w:rsidR="008F7FC4" w:rsidRPr="00A808E0" w:rsidRDefault="008F7FC4">
      <w:pPr>
        <w:jc w:val="center"/>
      </w:pPr>
      <w:r w:rsidRPr="00A808E0">
        <w:t>Unique number: 2</w:t>
      </w:r>
      <w:r w:rsidR="0027001E" w:rsidRPr="00A808E0">
        <w:t>796</w:t>
      </w:r>
      <w:r w:rsidR="00EA1461" w:rsidRPr="00A808E0">
        <w:t>5</w:t>
      </w:r>
    </w:p>
    <w:p w14:paraId="481AE626" w14:textId="77777777" w:rsidR="008F7FC4" w:rsidRPr="00A808E0" w:rsidRDefault="008F7FC4">
      <w:pPr>
        <w:jc w:val="center"/>
      </w:pPr>
    </w:p>
    <w:p w14:paraId="4AFC0B1C" w14:textId="1C19EF98" w:rsidR="0047358A" w:rsidRPr="00A808E0" w:rsidRDefault="00645E77">
      <w:r w:rsidRPr="00A808E0">
        <w:t xml:space="preserve">Class time: </w:t>
      </w:r>
      <w:r w:rsidR="00D56B7E" w:rsidRPr="00A808E0">
        <w:t>Wednesday</w:t>
      </w:r>
      <w:r w:rsidR="00922A54" w:rsidRPr="00A808E0">
        <w:t>s</w:t>
      </w:r>
      <w:r w:rsidRPr="00A808E0">
        <w:t xml:space="preserve"> </w:t>
      </w:r>
      <w:r w:rsidR="00360BE6" w:rsidRPr="00A808E0">
        <w:t>12</w:t>
      </w:r>
      <w:r w:rsidRPr="00A808E0">
        <w:t>:</w:t>
      </w:r>
      <w:r w:rsidR="00360BE6" w:rsidRPr="00A808E0">
        <w:t>0</w:t>
      </w:r>
      <w:r w:rsidR="00247AEB" w:rsidRPr="00A808E0">
        <w:t>0AM</w:t>
      </w:r>
      <w:r w:rsidR="00922A54" w:rsidRPr="00A808E0">
        <w:t xml:space="preserve"> </w:t>
      </w:r>
      <w:r w:rsidR="00247AEB" w:rsidRPr="00A808E0">
        <w:t>–</w:t>
      </w:r>
      <w:r w:rsidR="00922A54" w:rsidRPr="00A808E0">
        <w:t xml:space="preserve"> </w:t>
      </w:r>
      <w:r w:rsidR="00360BE6" w:rsidRPr="00A808E0">
        <w:t>3</w:t>
      </w:r>
      <w:r w:rsidR="00247AEB" w:rsidRPr="00A808E0">
        <w:t>:</w:t>
      </w:r>
      <w:r w:rsidR="00360BE6" w:rsidRPr="00A808E0">
        <w:t>0</w:t>
      </w:r>
      <w:r w:rsidR="00247AEB" w:rsidRPr="00A808E0">
        <w:t>0PM</w:t>
      </w:r>
    </w:p>
    <w:p w14:paraId="4243052B" w14:textId="1082E570" w:rsidR="0047358A" w:rsidRPr="00A808E0" w:rsidRDefault="00645E77">
      <w:r w:rsidRPr="00A808E0">
        <w:t xml:space="preserve">Instructor: </w:t>
      </w:r>
      <w:r w:rsidR="008F7FC4" w:rsidRPr="00A808E0">
        <w:t xml:space="preserve">Dr. </w:t>
      </w:r>
      <w:r w:rsidRPr="00A808E0">
        <w:t>Yan Zhang</w:t>
      </w:r>
    </w:p>
    <w:p w14:paraId="3F0C2CA0" w14:textId="6DAFC899" w:rsidR="00CD03C7" w:rsidRPr="00A808E0" w:rsidRDefault="00CD03C7">
      <w:r w:rsidRPr="00A808E0">
        <w:t xml:space="preserve">Office location: </w:t>
      </w:r>
      <w:r w:rsidR="008F2CE2" w:rsidRPr="00A808E0">
        <w:t>UTA</w:t>
      </w:r>
      <w:r w:rsidRPr="00A808E0">
        <w:t>5.416</w:t>
      </w:r>
    </w:p>
    <w:p w14:paraId="08A8A201" w14:textId="43FC0604" w:rsidR="00D678A5" w:rsidRPr="00A808E0" w:rsidRDefault="00D678A5">
      <w:r w:rsidRPr="00A808E0">
        <w:t>Pronouns: she/her/hers</w:t>
      </w:r>
    </w:p>
    <w:p w14:paraId="202A0DDA" w14:textId="6688C2AD" w:rsidR="0047358A" w:rsidRPr="00A808E0" w:rsidRDefault="00645E77">
      <w:r w:rsidRPr="00A808E0">
        <w:t xml:space="preserve">Email: </w:t>
      </w:r>
      <w:hyperlink r:id="rId9" w:history="1">
        <w:r w:rsidR="00247AEB" w:rsidRPr="00A808E0">
          <w:rPr>
            <w:rStyle w:val="Hyperlink"/>
          </w:rPr>
          <w:t>yanz@utexas.edu</w:t>
        </w:r>
      </w:hyperlink>
    </w:p>
    <w:p w14:paraId="086225C3" w14:textId="7D3E45E0" w:rsidR="00044292" w:rsidRPr="00A808E0" w:rsidRDefault="00044292">
      <w:r w:rsidRPr="00A808E0">
        <w:t xml:space="preserve">Class form: </w:t>
      </w:r>
      <w:r w:rsidR="00566886" w:rsidRPr="00A808E0">
        <w:t>In person</w:t>
      </w:r>
    </w:p>
    <w:p w14:paraId="384F5AD8" w14:textId="2A095257" w:rsidR="00210838" w:rsidRPr="00A808E0" w:rsidRDefault="00210838">
      <w:r w:rsidRPr="00A808E0">
        <w:t xml:space="preserve">Class meetings: </w:t>
      </w:r>
      <w:r w:rsidR="00247AEB" w:rsidRPr="00A808E0">
        <w:t>UTA</w:t>
      </w:r>
      <w:r w:rsidR="00C806E0" w:rsidRPr="00A808E0">
        <w:t>1</w:t>
      </w:r>
      <w:r w:rsidR="00247AEB" w:rsidRPr="00A808E0">
        <w:t>.</w:t>
      </w:r>
      <w:r w:rsidR="00360BE6" w:rsidRPr="00A808E0">
        <w:t>2</w:t>
      </w:r>
      <w:r w:rsidR="00C806E0" w:rsidRPr="00A808E0">
        <w:t>04</w:t>
      </w:r>
    </w:p>
    <w:p w14:paraId="575CE25D" w14:textId="2020F1EB" w:rsidR="0047358A" w:rsidRPr="00A808E0" w:rsidRDefault="00645E77">
      <w:r w:rsidRPr="00A808E0">
        <w:t xml:space="preserve">Office </w:t>
      </w:r>
      <w:proofErr w:type="spellStart"/>
      <w:r w:rsidRPr="00A808E0">
        <w:t>hrs</w:t>
      </w:r>
      <w:proofErr w:type="spellEnd"/>
      <w:r w:rsidRPr="00A808E0">
        <w:t>: By appointment</w:t>
      </w:r>
    </w:p>
    <w:p w14:paraId="2164F815" w14:textId="02CA227A" w:rsidR="0047358A" w:rsidRPr="00A808E0" w:rsidRDefault="00645E77">
      <w:pPr>
        <w:pStyle w:val="Heading1"/>
        <w:spacing w:before="240"/>
        <w:rPr>
          <w:rFonts w:ascii="Times New Roman" w:hAnsi="Times New Roman" w:cs="Times New Roman"/>
          <w:color w:val="auto"/>
          <w:sz w:val="24"/>
          <w:szCs w:val="24"/>
        </w:rPr>
      </w:pPr>
      <w:r w:rsidRPr="00A808E0">
        <w:rPr>
          <w:rFonts w:ascii="Times New Roman" w:hAnsi="Times New Roman" w:cs="Times New Roman"/>
          <w:color w:val="auto"/>
          <w:sz w:val="24"/>
          <w:szCs w:val="24"/>
        </w:rPr>
        <w:t>Course Description</w:t>
      </w:r>
    </w:p>
    <w:p w14:paraId="398DFF7E" w14:textId="77777777" w:rsidR="0047358A" w:rsidRPr="00A808E0" w:rsidRDefault="00645E77">
      <w:r w:rsidRPr="00A808E0">
        <w:t xml:space="preserve">An overview of the major ideas, concepts, and theories of Information Studies. Prerequisite: Admission to the doctoral program; consent of the graduate advisor. </w:t>
      </w:r>
    </w:p>
    <w:p w14:paraId="178F51A7" w14:textId="77777777" w:rsidR="0047358A" w:rsidRPr="00A808E0" w:rsidRDefault="00645E77">
      <w:pPr>
        <w:pStyle w:val="Heading1"/>
        <w:spacing w:before="240"/>
        <w:rPr>
          <w:rFonts w:ascii="Times New Roman" w:hAnsi="Times New Roman" w:cs="Times New Roman"/>
          <w:color w:val="auto"/>
          <w:sz w:val="24"/>
          <w:szCs w:val="24"/>
        </w:rPr>
      </w:pPr>
      <w:r w:rsidRPr="00A808E0">
        <w:rPr>
          <w:rFonts w:ascii="Times New Roman" w:hAnsi="Times New Roman" w:cs="Times New Roman"/>
          <w:color w:val="auto"/>
          <w:sz w:val="24"/>
          <w:szCs w:val="24"/>
        </w:rPr>
        <w:t>Learning Objectives</w:t>
      </w:r>
    </w:p>
    <w:p w14:paraId="703C3514" w14:textId="77777777" w:rsidR="0047358A" w:rsidRPr="00A808E0" w:rsidRDefault="00645E77">
      <w:pPr>
        <w:pStyle w:val="ListParagraph1"/>
        <w:numPr>
          <w:ilvl w:val="0"/>
          <w:numId w:val="1"/>
        </w:numPr>
        <w:spacing w:after="0" w:line="240" w:lineRule="auto"/>
        <w:rPr>
          <w:rFonts w:ascii="Times New Roman" w:hAnsi="Times New Roman" w:cs="Times New Roman"/>
        </w:rPr>
      </w:pPr>
      <w:r w:rsidRPr="00A808E0">
        <w:rPr>
          <w:rFonts w:ascii="Times New Roman" w:hAnsi="Times New Roman" w:cs="Times New Roman"/>
        </w:rPr>
        <w:t xml:space="preserve">Appreciate Information Studies as an intellectual area and a social phenomenon; become familiar with a broad range of established and emerging areas of research in Information Studies. </w:t>
      </w:r>
    </w:p>
    <w:p w14:paraId="50CD300F" w14:textId="77777777" w:rsidR="0047358A" w:rsidRPr="00A808E0" w:rsidRDefault="00645E77">
      <w:pPr>
        <w:pStyle w:val="ListParagraph1"/>
        <w:numPr>
          <w:ilvl w:val="0"/>
          <w:numId w:val="1"/>
        </w:numPr>
        <w:spacing w:after="0" w:line="240" w:lineRule="auto"/>
        <w:rPr>
          <w:rFonts w:ascii="Times New Roman" w:hAnsi="Times New Roman" w:cs="Times New Roman"/>
        </w:rPr>
      </w:pPr>
      <w:r w:rsidRPr="00A808E0">
        <w:rPr>
          <w:rFonts w:ascii="Times New Roman" w:hAnsi="Times New Roman" w:cs="Times New Roman"/>
        </w:rPr>
        <w:t>Understand the role of models, theories, and frameworks in scholarly research and in Information Studies in particular</w:t>
      </w:r>
    </w:p>
    <w:p w14:paraId="6AB98996" w14:textId="77777777" w:rsidR="0047358A" w:rsidRPr="00A808E0" w:rsidRDefault="00645E77">
      <w:pPr>
        <w:pStyle w:val="ListParagraph1"/>
        <w:numPr>
          <w:ilvl w:val="0"/>
          <w:numId w:val="1"/>
        </w:numPr>
        <w:spacing w:after="0" w:line="240" w:lineRule="auto"/>
        <w:rPr>
          <w:rFonts w:ascii="Times New Roman" w:hAnsi="Times New Roman" w:cs="Times New Roman"/>
        </w:rPr>
      </w:pPr>
      <w:r w:rsidRPr="00A808E0">
        <w:rPr>
          <w:rFonts w:ascii="Times New Roman" w:hAnsi="Times New Roman" w:cs="Times New Roman"/>
        </w:rPr>
        <w:t xml:space="preserve">Understand the role and importance of well-defined research questions and objectives </w:t>
      </w:r>
    </w:p>
    <w:p w14:paraId="6AE02D09" w14:textId="77777777" w:rsidR="0047358A" w:rsidRPr="00A808E0" w:rsidRDefault="00645E77">
      <w:pPr>
        <w:pStyle w:val="ListParagraph1"/>
        <w:numPr>
          <w:ilvl w:val="0"/>
          <w:numId w:val="1"/>
        </w:numPr>
        <w:spacing w:after="0" w:line="240" w:lineRule="auto"/>
        <w:rPr>
          <w:rFonts w:ascii="Times New Roman" w:hAnsi="Times New Roman" w:cs="Times New Roman"/>
        </w:rPr>
      </w:pPr>
      <w:r w:rsidRPr="00A808E0">
        <w:rPr>
          <w:rFonts w:ascii="Times New Roman" w:hAnsi="Times New Roman" w:cs="Times New Roman"/>
        </w:rPr>
        <w:t>Develop broad familiarity with the broad range of research methods used in Information Studies</w:t>
      </w:r>
    </w:p>
    <w:p w14:paraId="352CA18A" w14:textId="77777777" w:rsidR="0047358A" w:rsidRPr="00A808E0" w:rsidRDefault="00645E77">
      <w:pPr>
        <w:pStyle w:val="ListParagraph1"/>
        <w:numPr>
          <w:ilvl w:val="0"/>
          <w:numId w:val="1"/>
        </w:numPr>
        <w:spacing w:after="0" w:line="240" w:lineRule="auto"/>
        <w:rPr>
          <w:rFonts w:ascii="Times New Roman" w:hAnsi="Times New Roman" w:cs="Times New Roman"/>
        </w:rPr>
      </w:pPr>
      <w:r w:rsidRPr="00A808E0">
        <w:rPr>
          <w:rFonts w:ascii="Times New Roman" w:hAnsi="Times New Roman" w:cs="Times New Roman"/>
        </w:rPr>
        <w:t>Learn to read and analyze academic research articles, including those outside one's area of interest</w:t>
      </w:r>
    </w:p>
    <w:p w14:paraId="0C3DFAEF" w14:textId="77777777" w:rsidR="0047358A" w:rsidRPr="00A808E0" w:rsidRDefault="00645E77">
      <w:pPr>
        <w:pStyle w:val="ListParagraph1"/>
        <w:numPr>
          <w:ilvl w:val="0"/>
          <w:numId w:val="1"/>
        </w:numPr>
        <w:spacing w:after="0" w:line="240" w:lineRule="auto"/>
        <w:rPr>
          <w:rFonts w:ascii="Times New Roman" w:hAnsi="Times New Roman" w:cs="Times New Roman"/>
        </w:rPr>
      </w:pPr>
      <w:r w:rsidRPr="00A808E0">
        <w:rPr>
          <w:rFonts w:ascii="Times New Roman" w:hAnsi="Times New Roman" w:cs="Times New Roman"/>
        </w:rPr>
        <w:t>Demonstrate practical skills in investigating a new topic in Information Studies and managing the information resources acquired in that investigation</w:t>
      </w:r>
    </w:p>
    <w:p w14:paraId="40D06775" w14:textId="77777777" w:rsidR="0047358A" w:rsidRPr="00A808E0" w:rsidRDefault="00645E77">
      <w:pPr>
        <w:pStyle w:val="ListParagraph1"/>
        <w:numPr>
          <w:ilvl w:val="0"/>
          <w:numId w:val="1"/>
        </w:numPr>
        <w:spacing w:after="0" w:line="240" w:lineRule="auto"/>
        <w:rPr>
          <w:rFonts w:ascii="Times New Roman" w:hAnsi="Times New Roman" w:cs="Times New Roman"/>
        </w:rPr>
      </w:pPr>
      <w:r w:rsidRPr="00A808E0">
        <w:rPr>
          <w:rFonts w:ascii="Times New Roman" w:hAnsi="Times New Roman" w:cs="Times New Roman"/>
        </w:rPr>
        <w:t>Being able to write substantial literature reviews that summarize and synthesize published research in Information Studies</w:t>
      </w:r>
    </w:p>
    <w:p w14:paraId="161DDC08" w14:textId="77777777" w:rsidR="0047358A" w:rsidRPr="00A808E0" w:rsidRDefault="00645E77">
      <w:pPr>
        <w:pStyle w:val="Heading1"/>
        <w:spacing w:before="240"/>
        <w:rPr>
          <w:rFonts w:ascii="Times New Roman" w:hAnsi="Times New Roman" w:cs="Times New Roman"/>
          <w:color w:val="auto"/>
          <w:sz w:val="24"/>
          <w:szCs w:val="24"/>
        </w:rPr>
      </w:pPr>
      <w:r w:rsidRPr="00A808E0">
        <w:rPr>
          <w:rFonts w:ascii="Times New Roman" w:hAnsi="Times New Roman" w:cs="Times New Roman"/>
          <w:color w:val="auto"/>
          <w:sz w:val="24"/>
          <w:szCs w:val="24"/>
        </w:rPr>
        <w:t xml:space="preserve">Course Structure </w:t>
      </w:r>
    </w:p>
    <w:p w14:paraId="128EE14C" w14:textId="77777777" w:rsidR="0047358A" w:rsidRPr="00A808E0" w:rsidRDefault="00645E77">
      <w:r w:rsidRPr="00A808E0">
        <w:t xml:space="preserve">This is a doctoral seminar. As such class sessions will primarily consist of group discussions. These discussions will help us, as a group, to understand and analyze an article both for its empirical and theoretical content and as a piece of research. </w:t>
      </w:r>
    </w:p>
    <w:p w14:paraId="0E65D18A" w14:textId="77777777" w:rsidR="0047358A" w:rsidRPr="00A808E0" w:rsidRDefault="00645E77">
      <w:pPr>
        <w:pStyle w:val="Heading1"/>
        <w:spacing w:before="240"/>
        <w:rPr>
          <w:rFonts w:ascii="Times New Roman" w:hAnsi="Times New Roman" w:cs="Times New Roman"/>
          <w:color w:val="auto"/>
          <w:sz w:val="24"/>
          <w:szCs w:val="24"/>
        </w:rPr>
      </w:pPr>
      <w:r w:rsidRPr="00A808E0">
        <w:rPr>
          <w:rFonts w:ascii="Times New Roman" w:hAnsi="Times New Roman" w:cs="Times New Roman"/>
          <w:color w:val="auto"/>
          <w:sz w:val="24"/>
          <w:szCs w:val="24"/>
        </w:rPr>
        <w:t xml:space="preserve">Required Text </w:t>
      </w:r>
    </w:p>
    <w:p w14:paraId="7324660F" w14:textId="7A4670BD" w:rsidR="00922A54" w:rsidRPr="00A808E0" w:rsidRDefault="00922A54" w:rsidP="00922A54">
      <w:pPr>
        <w:ind w:left="475" w:hanging="475"/>
      </w:pPr>
      <w:r w:rsidRPr="00A808E0">
        <w:t xml:space="preserve">Booth, W. C., </w:t>
      </w:r>
      <w:proofErr w:type="spellStart"/>
      <w:r w:rsidRPr="00A808E0">
        <w:t>Colomb</w:t>
      </w:r>
      <w:proofErr w:type="spellEnd"/>
      <w:r w:rsidRPr="00A808E0">
        <w:t xml:space="preserve">, G. G., Williams, J. M., </w:t>
      </w:r>
      <w:proofErr w:type="spellStart"/>
      <w:r w:rsidRPr="00A808E0">
        <w:t>Bizup</w:t>
      </w:r>
      <w:proofErr w:type="spellEnd"/>
      <w:r w:rsidRPr="00A808E0">
        <w:t xml:space="preserve">, J., &amp; FitzGerald, W. T. (2016). </w:t>
      </w:r>
      <w:r w:rsidRPr="00A808E0">
        <w:rPr>
          <w:i/>
          <w:iCs/>
        </w:rPr>
        <w:t>The Craft of Research, Fourth Edition</w:t>
      </w:r>
      <w:r w:rsidRPr="00A808E0">
        <w:t xml:space="preserve"> (Fourth edition). University of Chicago Press.</w:t>
      </w:r>
      <w:r w:rsidR="007C03D8" w:rsidRPr="00A808E0">
        <w:t xml:space="preserve"> </w:t>
      </w:r>
      <w:r w:rsidR="004E2DE5" w:rsidRPr="00A808E0">
        <w:t>[Available online in UT library]</w:t>
      </w:r>
    </w:p>
    <w:p w14:paraId="566C3FDD" w14:textId="77777777" w:rsidR="002F40E8" w:rsidRPr="00A808E0" w:rsidRDefault="002F40E8" w:rsidP="00922A54">
      <w:pPr>
        <w:ind w:left="475" w:hanging="475"/>
      </w:pPr>
    </w:p>
    <w:p w14:paraId="11DAE937" w14:textId="755B82A3" w:rsidR="002F40E8" w:rsidRPr="00A808E0" w:rsidRDefault="002F40E8" w:rsidP="002F40E8">
      <w:pPr>
        <w:ind w:left="475" w:hanging="475"/>
      </w:pPr>
      <w:r w:rsidRPr="00A808E0">
        <w:t xml:space="preserve">Machi, L. A., &amp; McEvoy, B. T. (2016). </w:t>
      </w:r>
      <w:r w:rsidRPr="00A808E0">
        <w:rPr>
          <w:i/>
          <w:iCs/>
        </w:rPr>
        <w:t>The Literature Review: Six Steps to Success</w:t>
      </w:r>
      <w:r w:rsidRPr="00A808E0">
        <w:t xml:space="preserve"> (Third edition). Corwin.</w:t>
      </w:r>
      <w:r w:rsidR="00C22F51" w:rsidRPr="00A808E0">
        <w:t xml:space="preserve"> </w:t>
      </w:r>
    </w:p>
    <w:p w14:paraId="163193FD" w14:textId="305F115A" w:rsidR="0047358A" w:rsidRPr="002E4223" w:rsidRDefault="00645E77" w:rsidP="00743459">
      <w:pPr>
        <w:pStyle w:val="Heading1"/>
        <w:spacing w:before="240"/>
        <w:rPr>
          <w:rFonts w:ascii="Times New Roman" w:hAnsi="Times New Roman" w:cs="Times New Roman"/>
        </w:rPr>
      </w:pPr>
      <w:r w:rsidRPr="00A808E0">
        <w:rPr>
          <w:rFonts w:ascii="Times New Roman" w:eastAsiaTheme="minorHAnsi" w:hAnsi="Times New Roman" w:cs="Times New Roman"/>
          <w:b w:val="0"/>
          <w:bCs w:val="0"/>
          <w:color w:val="auto"/>
          <w:sz w:val="24"/>
          <w:szCs w:val="24"/>
        </w:rPr>
        <w:lastRenderedPageBreak/>
        <w:t>Other readings will be available as PDFs</w:t>
      </w:r>
      <w:r w:rsidR="002F40E8" w:rsidRPr="00A808E0">
        <w:rPr>
          <w:rFonts w:ascii="Times New Roman" w:eastAsiaTheme="minorHAnsi" w:hAnsi="Times New Roman" w:cs="Times New Roman"/>
          <w:b w:val="0"/>
          <w:bCs w:val="0"/>
          <w:color w:val="auto"/>
          <w:sz w:val="24"/>
          <w:szCs w:val="24"/>
        </w:rPr>
        <w:t xml:space="preserve"> in Canvas</w:t>
      </w:r>
      <w:r w:rsidRPr="00A808E0">
        <w:rPr>
          <w:rFonts w:ascii="Times New Roman" w:eastAsiaTheme="minorHAnsi" w:hAnsi="Times New Roman" w:cs="Times New Roman"/>
          <w:b w:val="0"/>
          <w:bCs w:val="0"/>
          <w:color w:val="auto"/>
          <w:sz w:val="24"/>
          <w:szCs w:val="24"/>
        </w:rPr>
        <w:t xml:space="preserve">.  </w:t>
      </w:r>
    </w:p>
    <w:p w14:paraId="0706FC73" w14:textId="77777777" w:rsidR="00A02946" w:rsidRPr="00A808E0" w:rsidRDefault="00A02946" w:rsidP="0025528D">
      <w:pPr>
        <w:pStyle w:val="Heading1"/>
        <w:spacing w:before="240"/>
        <w:rPr>
          <w:rFonts w:ascii="Times New Roman" w:hAnsi="Times New Roman" w:cs="Times New Roman"/>
          <w:color w:val="auto"/>
          <w:sz w:val="24"/>
          <w:szCs w:val="24"/>
        </w:rPr>
      </w:pPr>
      <w:r w:rsidRPr="00A808E0">
        <w:rPr>
          <w:rFonts w:ascii="Times New Roman" w:hAnsi="Times New Roman" w:cs="Times New Roman"/>
          <w:color w:val="auto"/>
          <w:sz w:val="24"/>
          <w:szCs w:val="24"/>
        </w:rPr>
        <w:t xml:space="preserve">University of Texas Honor Code </w:t>
      </w:r>
    </w:p>
    <w:p w14:paraId="320F6959" w14:textId="77777777" w:rsidR="00A02946" w:rsidRPr="00A808E0" w:rsidRDefault="00A02946" w:rsidP="002A31CB">
      <w:r w:rsidRPr="00A808E0">
        <w:t>The core values of The University of Texas at Austin are learning, discovery, freedom, leadership, individual opportunity, and responsibility. Each member of the university is expected to uphold these values through integrity, honesty, trust, fairness, and respect toward peers and community.</w:t>
      </w:r>
    </w:p>
    <w:p w14:paraId="14493D32" w14:textId="77777777" w:rsidR="00A02946" w:rsidRPr="00A808E0" w:rsidRDefault="00645E77" w:rsidP="002A31CB">
      <w:pPr>
        <w:pStyle w:val="Heading1"/>
        <w:spacing w:before="240"/>
        <w:rPr>
          <w:rFonts w:ascii="Times New Roman" w:hAnsi="Times New Roman" w:cs="Times New Roman"/>
        </w:rPr>
      </w:pPr>
      <w:r w:rsidRPr="00A808E0">
        <w:rPr>
          <w:rFonts w:ascii="Times New Roman" w:hAnsi="Times New Roman" w:cs="Times New Roman"/>
          <w:color w:val="auto"/>
          <w:sz w:val="24"/>
          <w:szCs w:val="24"/>
        </w:rPr>
        <w:t>Statement on Academic Honesty</w:t>
      </w:r>
    </w:p>
    <w:p w14:paraId="58BD740A" w14:textId="11091C12" w:rsidR="0047358A" w:rsidRPr="00A808E0" w:rsidRDefault="00645E77">
      <w:r w:rsidRPr="00A808E0">
        <w:t xml:space="preserve">This course and your PhD study </w:t>
      </w:r>
      <w:r w:rsidR="00C22F51" w:rsidRPr="00A808E0">
        <w:t>are</w:t>
      </w:r>
      <w:r w:rsidRPr="00A808E0">
        <w:t xml:space="preserve"> about becoming an independent scholar. You must familiarize yourself with appropriate academic conduct and honesty</w:t>
      </w:r>
      <w:r w:rsidR="00C22F51" w:rsidRPr="00A808E0">
        <w:t xml:space="preserve">: </w:t>
      </w:r>
      <w:r w:rsidRPr="00A808E0">
        <w:t xml:space="preserve"> UT Austin </w:t>
      </w:r>
      <w:r w:rsidR="00C22F51" w:rsidRPr="00A808E0">
        <w:t xml:space="preserve">Student Conduct and </w:t>
      </w:r>
      <w:r w:rsidRPr="00A808E0">
        <w:t>Academic Integrity</w:t>
      </w:r>
      <w:r w:rsidR="00C22F51" w:rsidRPr="00A808E0">
        <w:t xml:space="preserve">: </w:t>
      </w:r>
      <w:hyperlink r:id="rId10" w:history="1">
        <w:r w:rsidR="00C22F51" w:rsidRPr="00A808E0">
          <w:rPr>
            <w:rStyle w:val="Hyperlink"/>
          </w:rPr>
          <w:t>https://catalog.utexas.edu/general-information/appendices/appendix-c/student-conduct-and-academic-integrity/</w:t>
        </w:r>
      </w:hyperlink>
      <w:r w:rsidR="00C22F51" w:rsidRPr="00A808E0">
        <w:t xml:space="preserve"> </w:t>
      </w:r>
      <w:r w:rsidRPr="00A808E0">
        <w:t xml:space="preserve"> </w:t>
      </w:r>
    </w:p>
    <w:p w14:paraId="35B39F9A" w14:textId="77777777" w:rsidR="00C22F51" w:rsidRPr="00A808E0" w:rsidRDefault="00C22F51">
      <w:pPr>
        <w:pStyle w:val="NormalWeb"/>
        <w:shd w:val="clear" w:color="auto" w:fill="FFFFFF"/>
        <w:spacing w:before="0" w:beforeAutospacing="0" w:after="0" w:afterAutospacing="0"/>
        <w:rPr>
          <w:sz w:val="22"/>
          <w:szCs w:val="22"/>
        </w:rPr>
      </w:pPr>
    </w:p>
    <w:p w14:paraId="43EA558B" w14:textId="7E74E314" w:rsidR="0047358A" w:rsidRPr="00A808E0" w:rsidRDefault="00C22F51" w:rsidP="00C22F51">
      <w:pPr>
        <w:pStyle w:val="NormalWeb"/>
        <w:shd w:val="clear" w:color="auto" w:fill="FFFFFF"/>
        <w:spacing w:before="0" w:beforeAutospacing="0" w:after="0" w:afterAutospacing="0"/>
      </w:pPr>
      <w:r w:rsidRPr="00A808E0">
        <w:t>You can find c</w:t>
      </w:r>
      <w:r w:rsidR="00884D98" w:rsidRPr="00A808E0">
        <w:t xml:space="preserve">opyright and plagiarism </w:t>
      </w:r>
      <w:r w:rsidR="00645E77" w:rsidRPr="00A808E0">
        <w:t>tutorial</w:t>
      </w:r>
      <w:r w:rsidR="00884D98" w:rsidRPr="00A808E0">
        <w:t>s</w:t>
      </w:r>
      <w:r w:rsidR="00645E77" w:rsidRPr="00A808E0">
        <w:t xml:space="preserve"> </w:t>
      </w:r>
      <w:r w:rsidRPr="00A808E0">
        <w:t xml:space="preserve">here: </w:t>
      </w:r>
      <w:hyperlink r:id="rId11" w:history="1">
        <w:r w:rsidRPr="00A808E0">
          <w:rPr>
            <w:rStyle w:val="Hyperlink"/>
          </w:rPr>
          <w:t>https://gradschool.utexas.edu/academics/theses-and-dissertations/doctoral-candidacy/copyright-tutorial</w:t>
        </w:r>
      </w:hyperlink>
    </w:p>
    <w:p w14:paraId="0FE07CAE" w14:textId="77777777" w:rsidR="005F5367" w:rsidRPr="00A808E0" w:rsidRDefault="00645E77" w:rsidP="005F5367">
      <w:pPr>
        <w:pStyle w:val="Heading1"/>
        <w:spacing w:before="240"/>
        <w:rPr>
          <w:rFonts w:ascii="Times New Roman" w:hAnsi="Times New Roman" w:cs="Times New Roman"/>
        </w:rPr>
      </w:pPr>
      <w:r w:rsidRPr="00A808E0">
        <w:rPr>
          <w:rFonts w:ascii="Times New Roman" w:hAnsi="Times New Roman" w:cs="Times New Roman"/>
          <w:color w:val="auto"/>
          <w:sz w:val="24"/>
          <w:szCs w:val="24"/>
        </w:rPr>
        <w:t>Assignments and Grading</w:t>
      </w:r>
    </w:p>
    <w:p w14:paraId="321BE81E" w14:textId="1B403CA7" w:rsidR="0047358A" w:rsidRPr="00A808E0" w:rsidRDefault="00645E77">
      <w:pPr>
        <w:spacing w:after="40"/>
      </w:pPr>
      <w:r w:rsidRPr="00A808E0">
        <w:rPr>
          <w:b/>
        </w:rPr>
        <w:t xml:space="preserve">Weekly </w:t>
      </w:r>
      <w:r w:rsidR="005F5367" w:rsidRPr="00A808E0">
        <w:rPr>
          <w:b/>
        </w:rPr>
        <w:t>Discussion Questions</w:t>
      </w:r>
      <w:r w:rsidRPr="00A808E0">
        <w:rPr>
          <w:b/>
        </w:rPr>
        <w:t xml:space="preserve"> </w:t>
      </w:r>
      <w:r w:rsidRPr="00A808E0">
        <w:t>(</w:t>
      </w:r>
      <w:r w:rsidR="005F5367" w:rsidRPr="00A808E0">
        <w:t>30</w:t>
      </w:r>
      <w:r w:rsidRPr="00A808E0">
        <w:t>%)</w:t>
      </w:r>
      <w:r w:rsidR="004B4E7D" w:rsidRPr="00A808E0">
        <w:t xml:space="preserve">; </w:t>
      </w:r>
      <w:r w:rsidR="004B4E7D" w:rsidRPr="00A808E0">
        <w:rPr>
          <w:b/>
          <w:bCs/>
          <w:i/>
          <w:iCs/>
        </w:rPr>
        <w:t xml:space="preserve">Due at </w:t>
      </w:r>
      <w:r w:rsidR="00611E63" w:rsidRPr="00A808E0">
        <w:rPr>
          <w:b/>
          <w:bCs/>
          <w:i/>
          <w:iCs/>
          <w:u w:val="single"/>
        </w:rPr>
        <w:t>9</w:t>
      </w:r>
      <w:r w:rsidR="004B4E7D" w:rsidRPr="00A808E0">
        <w:rPr>
          <w:b/>
          <w:bCs/>
          <w:i/>
          <w:iCs/>
          <w:u w:val="single"/>
        </w:rPr>
        <w:t>:00</w:t>
      </w:r>
      <w:r w:rsidR="006004CE" w:rsidRPr="00A808E0">
        <w:rPr>
          <w:b/>
          <w:bCs/>
          <w:i/>
          <w:iCs/>
          <w:u w:val="single"/>
        </w:rPr>
        <w:t>P</w:t>
      </w:r>
      <w:r w:rsidR="004B4E7D" w:rsidRPr="00A808E0">
        <w:rPr>
          <w:b/>
          <w:bCs/>
          <w:i/>
          <w:iCs/>
          <w:u w:val="single"/>
        </w:rPr>
        <w:t xml:space="preserve">M each </w:t>
      </w:r>
      <w:r w:rsidR="006004CE" w:rsidRPr="00A808E0">
        <w:rPr>
          <w:b/>
          <w:bCs/>
          <w:i/>
          <w:iCs/>
          <w:u w:val="single"/>
        </w:rPr>
        <w:t>Tuesday</w:t>
      </w:r>
    </w:p>
    <w:p w14:paraId="6DEB46A5" w14:textId="0FFCBEAB" w:rsidR="00586BF7" w:rsidRPr="00A808E0" w:rsidRDefault="00356756">
      <w:r w:rsidRPr="00A808E0">
        <w:t xml:space="preserve">Analyzing two of the assigned research paper readings for </w:t>
      </w:r>
      <w:r w:rsidR="007B2637" w:rsidRPr="00A808E0">
        <w:t>each week</w:t>
      </w:r>
      <w:r w:rsidRPr="00A808E0">
        <w:t xml:space="preserve"> by following the template below and </w:t>
      </w:r>
      <w:r w:rsidRPr="00A808E0">
        <w:rPr>
          <w:b/>
          <w:bCs/>
          <w:i/>
          <w:iCs/>
        </w:rPr>
        <w:t>post</w:t>
      </w:r>
      <w:r w:rsidR="0099781B" w:rsidRPr="00A808E0">
        <w:rPr>
          <w:b/>
          <w:bCs/>
          <w:i/>
          <w:iCs/>
        </w:rPr>
        <w:t>ing</w:t>
      </w:r>
      <w:r w:rsidRPr="00A808E0">
        <w:rPr>
          <w:b/>
          <w:bCs/>
          <w:i/>
          <w:iCs/>
        </w:rPr>
        <w:t xml:space="preserve"> two questions </w:t>
      </w:r>
      <w:r w:rsidR="000729B1" w:rsidRPr="00A808E0">
        <w:rPr>
          <w:b/>
          <w:bCs/>
          <w:i/>
          <w:iCs/>
        </w:rPr>
        <w:t xml:space="preserve">or discussion points </w:t>
      </w:r>
      <w:r w:rsidRPr="00A808E0">
        <w:rPr>
          <w:b/>
          <w:bCs/>
          <w:i/>
          <w:iCs/>
        </w:rPr>
        <w:t>to the discussion board</w:t>
      </w:r>
      <w:r w:rsidRPr="00A808E0">
        <w:rPr>
          <w:i/>
          <w:iCs/>
        </w:rPr>
        <w:t xml:space="preserve"> on Canvas</w:t>
      </w:r>
      <w:r w:rsidRPr="00A808E0">
        <w:t xml:space="preserve"> for in-class discussion. </w:t>
      </w:r>
      <w:r w:rsidR="00BA6FA1" w:rsidRPr="00A808E0">
        <w:t xml:space="preserve">Please note that you </w:t>
      </w:r>
      <w:r w:rsidR="00586BF7" w:rsidRPr="00A808E0">
        <w:t xml:space="preserve">may </w:t>
      </w:r>
      <w:r w:rsidR="000729B1" w:rsidRPr="00A808E0">
        <w:t xml:space="preserve">but </w:t>
      </w:r>
      <w:r w:rsidR="00586BF7" w:rsidRPr="00A808E0">
        <w:t xml:space="preserve">are </w:t>
      </w:r>
      <w:r w:rsidR="000729B1" w:rsidRPr="00A808E0">
        <w:t>not required to post your analyses.</w:t>
      </w:r>
    </w:p>
    <w:p w14:paraId="73A4969F" w14:textId="366F7BC0" w:rsidR="0047358A" w:rsidRPr="00A808E0" w:rsidRDefault="000729B1">
      <w:r w:rsidRPr="00A808E0">
        <w:t xml:space="preserve"> </w:t>
      </w:r>
    </w:p>
    <w:tbl>
      <w:tblPr>
        <w:tblStyle w:val="TableGrid"/>
        <w:tblW w:w="9350" w:type="dxa"/>
        <w:tblLayout w:type="fixed"/>
        <w:tblLook w:val="04A0" w:firstRow="1" w:lastRow="0" w:firstColumn="1" w:lastColumn="0" w:noHBand="0" w:noVBand="1"/>
      </w:tblPr>
      <w:tblGrid>
        <w:gridCol w:w="9350"/>
      </w:tblGrid>
      <w:tr w:rsidR="0047358A" w:rsidRPr="00A808E0" w14:paraId="51FCA185" w14:textId="77777777" w:rsidTr="005F5367">
        <w:trPr>
          <w:trHeight w:val="2465"/>
        </w:trPr>
        <w:tc>
          <w:tcPr>
            <w:tcW w:w="9350" w:type="dxa"/>
          </w:tcPr>
          <w:p w14:paraId="0C3335CB" w14:textId="77777777" w:rsidR="0047358A" w:rsidRPr="00A808E0" w:rsidRDefault="00645E77">
            <w:pPr>
              <w:pStyle w:val="ListParagraph1"/>
              <w:numPr>
                <w:ilvl w:val="0"/>
                <w:numId w:val="3"/>
              </w:numPr>
              <w:rPr>
                <w:rFonts w:ascii="Times New Roman" w:hAnsi="Times New Roman" w:cs="Times New Roman"/>
              </w:rPr>
            </w:pPr>
            <w:r w:rsidRPr="00A808E0">
              <w:rPr>
                <w:rFonts w:ascii="Times New Roman" w:hAnsi="Times New Roman" w:cs="Times New Roman"/>
              </w:rPr>
              <w:t>Title of the article:</w:t>
            </w:r>
          </w:p>
          <w:p w14:paraId="23A3731B" w14:textId="77777777" w:rsidR="0047358A" w:rsidRPr="00A808E0" w:rsidRDefault="00645E77">
            <w:pPr>
              <w:pStyle w:val="ListParagraph1"/>
              <w:numPr>
                <w:ilvl w:val="0"/>
                <w:numId w:val="3"/>
              </w:numPr>
              <w:rPr>
                <w:rFonts w:ascii="Times New Roman" w:hAnsi="Times New Roman" w:cs="Times New Roman"/>
              </w:rPr>
            </w:pPr>
            <w:r w:rsidRPr="00A808E0">
              <w:rPr>
                <w:rFonts w:ascii="Times New Roman" w:hAnsi="Times New Roman" w:cs="Times New Roman"/>
              </w:rPr>
              <w:t xml:space="preserve">Theoretical framework (to understand the role of theories and models in research papers): </w:t>
            </w:r>
          </w:p>
          <w:p w14:paraId="50839BCA" w14:textId="77777777" w:rsidR="0047358A" w:rsidRPr="00A808E0" w:rsidRDefault="00645E77">
            <w:pPr>
              <w:pStyle w:val="ListParagraph1"/>
              <w:numPr>
                <w:ilvl w:val="0"/>
                <w:numId w:val="3"/>
              </w:numPr>
              <w:rPr>
                <w:rFonts w:ascii="Times New Roman" w:hAnsi="Times New Roman" w:cs="Times New Roman"/>
              </w:rPr>
            </w:pPr>
            <w:r w:rsidRPr="00A808E0">
              <w:rPr>
                <w:rFonts w:ascii="Times New Roman" w:hAnsi="Times New Roman" w:cs="Times New Roman"/>
              </w:rPr>
              <w:t>Research Qs:</w:t>
            </w:r>
          </w:p>
          <w:p w14:paraId="63FC6B13" w14:textId="77777777" w:rsidR="0047358A" w:rsidRPr="00A808E0" w:rsidRDefault="00645E77">
            <w:pPr>
              <w:pStyle w:val="ListParagraph1"/>
              <w:numPr>
                <w:ilvl w:val="0"/>
                <w:numId w:val="3"/>
              </w:numPr>
              <w:rPr>
                <w:rFonts w:ascii="Times New Roman" w:hAnsi="Times New Roman" w:cs="Times New Roman"/>
              </w:rPr>
            </w:pPr>
            <w:r w:rsidRPr="00A808E0">
              <w:rPr>
                <w:rFonts w:ascii="Times New Roman" w:hAnsi="Times New Roman" w:cs="Times New Roman"/>
              </w:rPr>
              <w:t>I am studying [topic]:</w:t>
            </w:r>
          </w:p>
          <w:p w14:paraId="65A497CF" w14:textId="77777777" w:rsidR="0047358A" w:rsidRPr="00A808E0" w:rsidRDefault="00645E77">
            <w:pPr>
              <w:ind w:left="1080"/>
            </w:pPr>
            <w:r w:rsidRPr="00A808E0">
              <w:t xml:space="preserve">because I want to </w:t>
            </w:r>
            <w:r w:rsidR="00EF4411" w:rsidRPr="00A808E0">
              <w:t xml:space="preserve">find out </w:t>
            </w:r>
            <w:r w:rsidRPr="00A808E0">
              <w:t>[</w:t>
            </w:r>
            <w:r w:rsidR="00EF4411" w:rsidRPr="00A808E0">
              <w:t>Conceptual question]</w:t>
            </w:r>
          </w:p>
          <w:p w14:paraId="7660CD38" w14:textId="77777777" w:rsidR="0047358A" w:rsidRPr="00A808E0" w:rsidRDefault="00645E77" w:rsidP="00EF4411">
            <w:pPr>
              <w:ind w:left="1080" w:firstLine="225"/>
            </w:pPr>
            <w:r w:rsidRPr="00A808E0">
              <w:t xml:space="preserve">in order to help </w:t>
            </w:r>
            <w:r w:rsidR="00EF4411" w:rsidRPr="00A808E0">
              <w:t xml:space="preserve">my </w:t>
            </w:r>
            <w:r w:rsidRPr="00A808E0">
              <w:t>readers [</w:t>
            </w:r>
            <w:r w:rsidR="00EF4411" w:rsidRPr="00A808E0">
              <w:t>conceptual significance</w:t>
            </w:r>
            <w:r w:rsidRPr="00A808E0">
              <w:t>]</w:t>
            </w:r>
          </w:p>
          <w:p w14:paraId="7AADC232" w14:textId="77777777" w:rsidR="00EF4411" w:rsidRPr="00A808E0" w:rsidRDefault="00EF4411" w:rsidP="00EF4411">
            <w:pPr>
              <w:ind w:left="1080" w:firstLine="225"/>
            </w:pPr>
            <w:r w:rsidRPr="00A808E0">
              <w:t xml:space="preserve">    so that [potential practical applications]</w:t>
            </w:r>
          </w:p>
          <w:p w14:paraId="76FFE4E2" w14:textId="77777777" w:rsidR="0047358A" w:rsidRPr="00A808E0" w:rsidRDefault="00645E77" w:rsidP="005F5367">
            <w:pPr>
              <w:pStyle w:val="ListParagraph1"/>
              <w:numPr>
                <w:ilvl w:val="0"/>
                <w:numId w:val="3"/>
              </w:numPr>
              <w:rPr>
                <w:rFonts w:ascii="Times New Roman" w:hAnsi="Times New Roman" w:cs="Times New Roman"/>
                <w:color w:val="333333"/>
                <w:sz w:val="20"/>
                <w:szCs w:val="20"/>
              </w:rPr>
            </w:pPr>
            <w:r w:rsidRPr="00A808E0">
              <w:rPr>
                <w:rFonts w:ascii="Times New Roman" w:hAnsi="Times New Roman" w:cs="Times New Roman"/>
              </w:rPr>
              <w:t xml:space="preserve">In what way is this paper interesting, in the specific sense used by Davis (1971)? If it is not, why not? </w:t>
            </w:r>
          </w:p>
        </w:tc>
      </w:tr>
    </w:tbl>
    <w:p w14:paraId="63CD490D" w14:textId="77777777" w:rsidR="005F5367" w:rsidRPr="00A808E0" w:rsidRDefault="005F5367">
      <w:pPr>
        <w:spacing w:after="40"/>
      </w:pPr>
    </w:p>
    <w:p w14:paraId="55785A7A" w14:textId="6F7A55F4" w:rsidR="005F5367" w:rsidRPr="00A808E0" w:rsidRDefault="005F5367" w:rsidP="005F5367">
      <w:pPr>
        <w:spacing w:after="40" w:line="276" w:lineRule="auto"/>
        <w:rPr>
          <w:b/>
        </w:rPr>
      </w:pPr>
      <w:r w:rsidRPr="00A808E0">
        <w:rPr>
          <w:b/>
        </w:rPr>
        <w:t xml:space="preserve">Participation in Class Discussions </w:t>
      </w:r>
      <w:r w:rsidRPr="00A808E0">
        <w:rPr>
          <w:bCs/>
        </w:rPr>
        <w:t>(</w:t>
      </w:r>
      <w:r w:rsidR="005E7850" w:rsidRPr="00A808E0">
        <w:rPr>
          <w:bCs/>
        </w:rPr>
        <w:t>3</w:t>
      </w:r>
      <w:r w:rsidRPr="00A808E0">
        <w:rPr>
          <w:bCs/>
        </w:rPr>
        <w:t>0%)</w:t>
      </w:r>
      <w:r w:rsidRPr="00A808E0">
        <w:rPr>
          <w:b/>
        </w:rPr>
        <w:t xml:space="preserve"> </w:t>
      </w:r>
    </w:p>
    <w:p w14:paraId="0533E399" w14:textId="77777777" w:rsidR="005F5367" w:rsidRPr="00A808E0" w:rsidRDefault="005F5367" w:rsidP="005F5367">
      <w:r w:rsidRPr="00A808E0">
        <w:t xml:space="preserve">This is a seminar class so in-class participation is important. </w:t>
      </w:r>
    </w:p>
    <w:p w14:paraId="32AF1FED" w14:textId="77777777" w:rsidR="0047358A" w:rsidRPr="00A808E0" w:rsidRDefault="0047358A">
      <w:pPr>
        <w:spacing w:after="40"/>
        <w:rPr>
          <w:b/>
        </w:rPr>
      </w:pPr>
    </w:p>
    <w:p w14:paraId="03689B8C" w14:textId="00150C2F" w:rsidR="0047358A" w:rsidRPr="00A808E0" w:rsidRDefault="00645E77">
      <w:pPr>
        <w:spacing w:after="40"/>
        <w:rPr>
          <w:b/>
        </w:rPr>
      </w:pPr>
      <w:r w:rsidRPr="00A808E0">
        <w:rPr>
          <w:b/>
        </w:rPr>
        <w:t xml:space="preserve">Literature Review </w:t>
      </w:r>
      <w:r w:rsidRPr="00A808E0">
        <w:t>(</w:t>
      </w:r>
      <w:r w:rsidR="005E7850" w:rsidRPr="00A808E0">
        <w:t>3</w:t>
      </w:r>
      <w:r w:rsidR="005F5367" w:rsidRPr="00A808E0">
        <w:t>0</w:t>
      </w:r>
      <w:r w:rsidRPr="00A808E0">
        <w:t>% (writing)</w:t>
      </w:r>
      <w:r w:rsidR="000D7B3F" w:rsidRPr="00A808E0">
        <w:t xml:space="preserve"> </w:t>
      </w:r>
      <w:r w:rsidR="000D7B3F" w:rsidRPr="00A808E0">
        <w:rPr>
          <w:b/>
          <w:bCs/>
          <w:i/>
          <w:iCs/>
        </w:rPr>
        <w:t>Due: Dec</w:t>
      </w:r>
      <w:r w:rsidR="0099781B" w:rsidRPr="003D34C8">
        <w:rPr>
          <w:b/>
          <w:bCs/>
          <w:i/>
          <w:iCs/>
        </w:rPr>
        <w:t xml:space="preserve">. </w:t>
      </w:r>
      <w:r w:rsidR="0099781B" w:rsidRPr="00A808E0">
        <w:rPr>
          <w:b/>
          <w:bCs/>
          <w:i/>
          <w:iCs/>
        </w:rPr>
        <w:t>5;</w:t>
      </w:r>
      <w:r w:rsidR="000D7B3F" w:rsidRPr="00A808E0">
        <w:t xml:space="preserve"> </w:t>
      </w:r>
      <w:r w:rsidRPr="00A808E0">
        <w:t>10% (presentation)</w:t>
      </w:r>
      <w:r w:rsidR="000D7B3F" w:rsidRPr="00A808E0">
        <w:t xml:space="preserve"> </w:t>
      </w:r>
      <w:r w:rsidR="000D7B3F" w:rsidRPr="00A808E0">
        <w:rPr>
          <w:b/>
          <w:bCs/>
          <w:i/>
          <w:iCs/>
        </w:rPr>
        <w:t xml:space="preserve">Due: </w:t>
      </w:r>
      <w:r w:rsidR="0099781B" w:rsidRPr="00A808E0">
        <w:rPr>
          <w:b/>
          <w:bCs/>
          <w:i/>
          <w:iCs/>
        </w:rPr>
        <w:t>Dec. 4</w:t>
      </w:r>
      <w:r w:rsidRPr="00A808E0">
        <w:t>)</w:t>
      </w:r>
      <w:r w:rsidR="00F4046A" w:rsidRPr="00A808E0">
        <w:t xml:space="preserve"> </w:t>
      </w:r>
    </w:p>
    <w:p w14:paraId="5F23F22B" w14:textId="77777777" w:rsidR="0047358A" w:rsidRPr="00A808E0" w:rsidRDefault="00645E77">
      <w:r w:rsidRPr="00A808E0">
        <w:t xml:space="preserve">The ability to write a good literature review is critical for success in the doctoral program and for your future career as a scholar. Many course assignments, most conference and journal articles, and certainly your dissertation will require you to analyze, synthesize, and critique the current status of a body of literature. More importantly, conducting good literature reviews can help you have a solid understanding of a topic area, including what’s been done before, which approaches </w:t>
      </w:r>
      <w:r w:rsidRPr="00A808E0">
        <w:lastRenderedPageBreak/>
        <w:t xml:space="preserve">and methods have led to promising – or not so promising – paths of investigation, and where there are gaps in the literature that suggest useful areas for new research. </w:t>
      </w:r>
    </w:p>
    <w:p w14:paraId="010E5130" w14:textId="77777777" w:rsidR="005C3ADB" w:rsidRPr="00A808E0" w:rsidRDefault="005C3ADB"/>
    <w:p w14:paraId="1D4D51B1" w14:textId="77777777" w:rsidR="0047358A" w:rsidRPr="00A808E0" w:rsidRDefault="00645E77">
      <w:r w:rsidRPr="00A808E0">
        <w:t xml:space="preserve">Writing a good literature review is much more than simply summarizing a handful of related papers. A useful literature review will convey an understanding of the breadth and depth of published work in a specific area, give the reader a good sense of the prominent theories, methods, systems, controversies, etc. that exist in the area – as well as the important authors and seminal publications – and show the reader where there are gaps in the literature that might suggest where more research is needed. Writing a literature review that meets these criteria is challenging and practice definitely helps. This assignment is intended to help you gain more experience with the process. </w:t>
      </w:r>
    </w:p>
    <w:p w14:paraId="3A43B012" w14:textId="77777777" w:rsidR="005C3ADB" w:rsidRPr="00A808E0" w:rsidRDefault="005C3ADB"/>
    <w:p w14:paraId="51C66D6E" w14:textId="3A2CACCD" w:rsidR="0047358A" w:rsidRPr="00A808E0" w:rsidRDefault="00645E77">
      <w:r w:rsidRPr="00A808E0">
        <w:t>The deliverable for this assignment is a written literature review on a topic of your interest. The length and details of the submission may vary depending on the topic selected, but generally I expect the final product to be 1500-2</w:t>
      </w:r>
      <w:r w:rsidR="00787E25" w:rsidRPr="00A808E0">
        <w:t>0</w:t>
      </w:r>
      <w:r w:rsidRPr="00A808E0">
        <w:t xml:space="preserve">00 words and discuss at least 15-20 references (some perhaps very briefly, others more thoroughly). You are free to use any established reference style (e.g., APA, MLA, Chicago) in this assignment. You are recommended to use a reference management tool (e.g., EndNote, Zotero, Mendeley) to help you organize the references. </w:t>
      </w:r>
    </w:p>
    <w:p w14:paraId="4460F0AC" w14:textId="77777777" w:rsidR="005C3ADB" w:rsidRPr="00A808E0" w:rsidRDefault="005C3ADB"/>
    <w:p w14:paraId="55FDDCE9" w14:textId="77777777" w:rsidR="0047358A" w:rsidRPr="00A808E0" w:rsidRDefault="00645E77">
      <w:r w:rsidRPr="00A808E0">
        <w:t>The grade for your final deliverable of this assignment will be based on the following rubric:</w:t>
      </w:r>
    </w:p>
    <w:tbl>
      <w:tblPr>
        <w:tblStyle w:val="TableGrid"/>
        <w:tblW w:w="9350" w:type="dxa"/>
        <w:tblLayout w:type="fixed"/>
        <w:tblLook w:val="04A0" w:firstRow="1" w:lastRow="0" w:firstColumn="1" w:lastColumn="0" w:noHBand="0" w:noVBand="1"/>
      </w:tblPr>
      <w:tblGrid>
        <w:gridCol w:w="2049"/>
        <w:gridCol w:w="2269"/>
        <w:gridCol w:w="2451"/>
        <w:gridCol w:w="2581"/>
      </w:tblGrid>
      <w:tr w:rsidR="0047358A" w:rsidRPr="00A808E0" w14:paraId="1160C74A" w14:textId="77777777">
        <w:trPr>
          <w:trHeight w:val="172"/>
        </w:trPr>
        <w:tc>
          <w:tcPr>
            <w:tcW w:w="2049" w:type="dxa"/>
            <w:vMerge w:val="restart"/>
          </w:tcPr>
          <w:p w14:paraId="0710BC1A" w14:textId="77777777" w:rsidR="0047358A" w:rsidRPr="00A808E0" w:rsidRDefault="00645E77">
            <w:pPr>
              <w:rPr>
                <w:b/>
              </w:rPr>
            </w:pPr>
            <w:r w:rsidRPr="00A808E0">
              <w:rPr>
                <w:b/>
              </w:rPr>
              <w:t>Criteria</w:t>
            </w:r>
          </w:p>
        </w:tc>
        <w:tc>
          <w:tcPr>
            <w:tcW w:w="7301" w:type="dxa"/>
            <w:gridSpan w:val="3"/>
          </w:tcPr>
          <w:p w14:paraId="280CE2AD" w14:textId="77777777" w:rsidR="0047358A" w:rsidRPr="00A808E0" w:rsidRDefault="00645E77">
            <w:pPr>
              <w:jc w:val="center"/>
              <w:rPr>
                <w:b/>
              </w:rPr>
            </w:pPr>
            <w:r w:rsidRPr="00A808E0">
              <w:rPr>
                <w:b/>
              </w:rPr>
              <w:t>Observed qualities</w:t>
            </w:r>
          </w:p>
        </w:tc>
      </w:tr>
      <w:tr w:rsidR="0047358A" w:rsidRPr="00A808E0" w14:paraId="21429EA9" w14:textId="77777777">
        <w:trPr>
          <w:trHeight w:val="86"/>
        </w:trPr>
        <w:tc>
          <w:tcPr>
            <w:tcW w:w="2049" w:type="dxa"/>
            <w:vMerge/>
          </w:tcPr>
          <w:p w14:paraId="48CA1D73" w14:textId="77777777" w:rsidR="0047358A" w:rsidRPr="00A808E0" w:rsidRDefault="0047358A"/>
        </w:tc>
        <w:tc>
          <w:tcPr>
            <w:tcW w:w="2269" w:type="dxa"/>
          </w:tcPr>
          <w:p w14:paraId="0CD8AE21" w14:textId="77777777" w:rsidR="0047358A" w:rsidRPr="00A808E0" w:rsidRDefault="00645E77">
            <w:r w:rsidRPr="00A808E0">
              <w:t>Excellent (A/A-)</w:t>
            </w:r>
          </w:p>
        </w:tc>
        <w:tc>
          <w:tcPr>
            <w:tcW w:w="2451" w:type="dxa"/>
          </w:tcPr>
          <w:p w14:paraId="6F9CEA4C" w14:textId="77777777" w:rsidR="0047358A" w:rsidRPr="00A808E0" w:rsidRDefault="00645E77">
            <w:r w:rsidRPr="00A808E0">
              <w:t>Good (B+)</w:t>
            </w:r>
          </w:p>
        </w:tc>
        <w:tc>
          <w:tcPr>
            <w:tcW w:w="2581" w:type="dxa"/>
          </w:tcPr>
          <w:p w14:paraId="71D55C4B" w14:textId="77777777" w:rsidR="0047358A" w:rsidRPr="00A808E0" w:rsidRDefault="00645E77">
            <w:r w:rsidRPr="00A808E0">
              <w:t>Poor (B and below)</w:t>
            </w:r>
          </w:p>
        </w:tc>
      </w:tr>
      <w:tr w:rsidR="0047358A" w:rsidRPr="00A808E0" w14:paraId="48C87D50" w14:textId="77777777">
        <w:tc>
          <w:tcPr>
            <w:tcW w:w="2049" w:type="dxa"/>
            <w:vAlign w:val="center"/>
          </w:tcPr>
          <w:p w14:paraId="13CD8526" w14:textId="77777777" w:rsidR="0047358A" w:rsidRPr="00A808E0" w:rsidRDefault="00645E77">
            <w:pPr>
              <w:rPr>
                <w:i/>
              </w:rPr>
            </w:pPr>
            <w:r w:rsidRPr="00A808E0">
              <w:rPr>
                <w:i/>
              </w:rPr>
              <w:t xml:space="preserve">Introduction to topic area </w:t>
            </w:r>
          </w:p>
        </w:tc>
        <w:tc>
          <w:tcPr>
            <w:tcW w:w="2269" w:type="dxa"/>
          </w:tcPr>
          <w:p w14:paraId="4E79CEC8" w14:textId="77777777" w:rsidR="0047358A" w:rsidRPr="00A808E0" w:rsidRDefault="00645E77">
            <w:r w:rsidRPr="00A808E0">
              <w:t xml:space="preserve">Clear introduction to topic area; effective orientation for body of review provided </w:t>
            </w:r>
          </w:p>
        </w:tc>
        <w:tc>
          <w:tcPr>
            <w:tcW w:w="2451" w:type="dxa"/>
          </w:tcPr>
          <w:p w14:paraId="31FEAF8A" w14:textId="77777777" w:rsidR="0047358A" w:rsidRPr="00A808E0" w:rsidRDefault="00645E77">
            <w:r w:rsidRPr="00A808E0">
              <w:t xml:space="preserve">Overall topic area less effectively described; limited orientation to body of review </w:t>
            </w:r>
          </w:p>
        </w:tc>
        <w:tc>
          <w:tcPr>
            <w:tcW w:w="2581" w:type="dxa"/>
          </w:tcPr>
          <w:p w14:paraId="12A115A8" w14:textId="77777777" w:rsidR="0047358A" w:rsidRPr="00A808E0" w:rsidRDefault="00645E77">
            <w:r w:rsidRPr="00A808E0">
              <w:t>No clear explanation of the topic area; no transition to body of review</w:t>
            </w:r>
          </w:p>
        </w:tc>
      </w:tr>
      <w:tr w:rsidR="0047358A" w:rsidRPr="00A808E0" w14:paraId="3014AF99" w14:textId="77777777">
        <w:tc>
          <w:tcPr>
            <w:tcW w:w="2049" w:type="dxa"/>
            <w:vAlign w:val="center"/>
          </w:tcPr>
          <w:p w14:paraId="4E7C3124" w14:textId="77777777" w:rsidR="0047358A" w:rsidRPr="00A808E0" w:rsidRDefault="00645E77">
            <w:pPr>
              <w:rPr>
                <w:i/>
              </w:rPr>
            </w:pPr>
            <w:r w:rsidRPr="00A808E0">
              <w:rPr>
                <w:i/>
              </w:rPr>
              <w:t>Body of review</w:t>
            </w:r>
          </w:p>
        </w:tc>
        <w:tc>
          <w:tcPr>
            <w:tcW w:w="2269" w:type="dxa"/>
          </w:tcPr>
          <w:p w14:paraId="0D760C12" w14:textId="77777777" w:rsidR="0047358A" w:rsidRPr="00A808E0" w:rsidRDefault="00645E77">
            <w:r w:rsidRPr="00A808E0">
              <w:t>Critical synthesis present; consistent and logical transitions; cohesive narrative going from general to specific</w:t>
            </w:r>
          </w:p>
        </w:tc>
        <w:tc>
          <w:tcPr>
            <w:tcW w:w="2451" w:type="dxa"/>
          </w:tcPr>
          <w:p w14:paraId="04B9C7CA" w14:textId="77777777" w:rsidR="0047358A" w:rsidRPr="00A808E0" w:rsidRDefault="00645E77">
            <w:r w:rsidRPr="00A808E0">
              <w:t>Limited critical analysis or attempt at synthesis; some connections made between references, but lack of consistent logical flow</w:t>
            </w:r>
          </w:p>
        </w:tc>
        <w:tc>
          <w:tcPr>
            <w:tcW w:w="2581" w:type="dxa"/>
          </w:tcPr>
          <w:p w14:paraId="66323B2A" w14:textId="77777777" w:rsidR="0047358A" w:rsidRPr="00A808E0" w:rsidRDefault="00645E77">
            <w:r w:rsidRPr="00A808E0">
              <w:t>No clear relationship between reference summaries; no critique beyond summary descriptions</w:t>
            </w:r>
          </w:p>
        </w:tc>
      </w:tr>
      <w:tr w:rsidR="0047358A" w:rsidRPr="00A808E0" w14:paraId="49C356D0" w14:textId="77777777">
        <w:tc>
          <w:tcPr>
            <w:tcW w:w="2049" w:type="dxa"/>
            <w:vAlign w:val="center"/>
          </w:tcPr>
          <w:p w14:paraId="24A1454B" w14:textId="77777777" w:rsidR="0047358A" w:rsidRPr="00A808E0" w:rsidRDefault="00645E77">
            <w:pPr>
              <w:rPr>
                <w:i/>
              </w:rPr>
            </w:pPr>
            <w:r w:rsidRPr="00A808E0">
              <w:rPr>
                <w:i/>
              </w:rPr>
              <w:t>Coverage</w:t>
            </w:r>
          </w:p>
        </w:tc>
        <w:tc>
          <w:tcPr>
            <w:tcW w:w="2269" w:type="dxa"/>
          </w:tcPr>
          <w:p w14:paraId="59EC1760" w14:textId="77777777" w:rsidR="0047358A" w:rsidRPr="00A808E0" w:rsidRDefault="00645E77">
            <w:r w:rsidRPr="00A808E0">
              <w:t>Thorough, consistent coverage of topic area; in-depth discussion where appropriate</w:t>
            </w:r>
          </w:p>
        </w:tc>
        <w:tc>
          <w:tcPr>
            <w:tcW w:w="2451" w:type="dxa"/>
          </w:tcPr>
          <w:p w14:paraId="5149A281" w14:textId="77777777" w:rsidR="0047358A" w:rsidRPr="00A808E0" w:rsidRDefault="00645E77">
            <w:r w:rsidRPr="00A808E0">
              <w:t>Adequate overall coverage of topic area but superficial coverage of references</w:t>
            </w:r>
          </w:p>
        </w:tc>
        <w:tc>
          <w:tcPr>
            <w:tcW w:w="2581" w:type="dxa"/>
          </w:tcPr>
          <w:p w14:paraId="10EC0688" w14:textId="77777777" w:rsidR="0047358A" w:rsidRPr="00A808E0" w:rsidRDefault="00645E77">
            <w:r w:rsidRPr="00A808E0">
              <w:t>Omission of references clearly important to topic area; minimal references; consistent sketchy coverage of references</w:t>
            </w:r>
          </w:p>
        </w:tc>
      </w:tr>
      <w:tr w:rsidR="0047358A" w:rsidRPr="00A808E0" w14:paraId="1E1C5D6C" w14:textId="77777777">
        <w:tc>
          <w:tcPr>
            <w:tcW w:w="2049" w:type="dxa"/>
            <w:vAlign w:val="center"/>
          </w:tcPr>
          <w:p w14:paraId="65E6475F" w14:textId="77777777" w:rsidR="0047358A" w:rsidRPr="00A808E0" w:rsidRDefault="00645E77">
            <w:pPr>
              <w:rPr>
                <w:i/>
              </w:rPr>
            </w:pPr>
            <w:r w:rsidRPr="00A808E0">
              <w:rPr>
                <w:i/>
              </w:rPr>
              <w:t>Conclusion</w:t>
            </w:r>
          </w:p>
        </w:tc>
        <w:tc>
          <w:tcPr>
            <w:tcW w:w="2269" w:type="dxa"/>
          </w:tcPr>
          <w:p w14:paraId="4E4CF13C" w14:textId="77777777" w:rsidR="0047358A" w:rsidRPr="00A808E0" w:rsidRDefault="00645E77">
            <w:r w:rsidRPr="00A808E0">
              <w:t>Solid, logical summary of review; insights and suggestions follow from body of review</w:t>
            </w:r>
          </w:p>
        </w:tc>
        <w:tc>
          <w:tcPr>
            <w:tcW w:w="2451" w:type="dxa"/>
          </w:tcPr>
          <w:p w14:paraId="78CF6FF2" w14:textId="77777777" w:rsidR="0047358A" w:rsidRPr="00A808E0" w:rsidRDefault="00645E77">
            <w:r w:rsidRPr="00A808E0">
              <w:t>Some conclusion or overall synthesis provided but not well supported by body of review</w:t>
            </w:r>
          </w:p>
        </w:tc>
        <w:tc>
          <w:tcPr>
            <w:tcW w:w="2581" w:type="dxa"/>
          </w:tcPr>
          <w:p w14:paraId="49069F5C" w14:textId="77777777" w:rsidR="0047358A" w:rsidRPr="00A808E0" w:rsidRDefault="00645E77">
            <w:r w:rsidRPr="00A808E0">
              <w:t>No clear summary or synthesis of topic area provided; summary disconnected from review</w:t>
            </w:r>
          </w:p>
        </w:tc>
      </w:tr>
      <w:tr w:rsidR="0047358A" w:rsidRPr="00A808E0" w14:paraId="3E26FE13" w14:textId="77777777">
        <w:tc>
          <w:tcPr>
            <w:tcW w:w="2049" w:type="dxa"/>
            <w:vAlign w:val="center"/>
          </w:tcPr>
          <w:p w14:paraId="4138B946" w14:textId="77777777" w:rsidR="0047358A" w:rsidRPr="00A808E0" w:rsidRDefault="00645E77">
            <w:pPr>
              <w:rPr>
                <w:i/>
              </w:rPr>
            </w:pPr>
            <w:r w:rsidRPr="00A808E0">
              <w:rPr>
                <w:i/>
              </w:rPr>
              <w:t>Clarity of writing</w:t>
            </w:r>
          </w:p>
        </w:tc>
        <w:tc>
          <w:tcPr>
            <w:tcW w:w="2269" w:type="dxa"/>
          </w:tcPr>
          <w:p w14:paraId="38287F62" w14:textId="77777777" w:rsidR="0047358A" w:rsidRPr="00A808E0" w:rsidRDefault="00645E77">
            <w:r w:rsidRPr="00A808E0">
              <w:t xml:space="preserve">Clearly written, coherent argument; </w:t>
            </w:r>
            <w:r w:rsidRPr="00A808E0">
              <w:lastRenderedPageBreak/>
              <w:t>structural variety; reads as a connected, informative narrative</w:t>
            </w:r>
          </w:p>
        </w:tc>
        <w:tc>
          <w:tcPr>
            <w:tcW w:w="2451" w:type="dxa"/>
          </w:tcPr>
          <w:p w14:paraId="04AB9AFC" w14:textId="77777777" w:rsidR="0047358A" w:rsidRPr="00A808E0" w:rsidRDefault="00645E77">
            <w:r w:rsidRPr="00A808E0">
              <w:lastRenderedPageBreak/>
              <w:t xml:space="preserve">Generally well-written but flow of argument </w:t>
            </w:r>
            <w:r w:rsidRPr="00A808E0">
              <w:lastRenderedPageBreak/>
              <w:t>not always easy to follow; lack of variety in structure from paragraph to paragraph</w:t>
            </w:r>
          </w:p>
        </w:tc>
        <w:tc>
          <w:tcPr>
            <w:tcW w:w="2581" w:type="dxa"/>
          </w:tcPr>
          <w:p w14:paraId="46657ADB" w14:textId="77777777" w:rsidR="0047358A" w:rsidRPr="00A808E0" w:rsidRDefault="00645E77">
            <w:r w:rsidRPr="00A808E0">
              <w:lastRenderedPageBreak/>
              <w:t xml:space="preserve">Significant spelling or grammar mistakes; </w:t>
            </w:r>
            <w:r w:rsidRPr="00A808E0">
              <w:lastRenderedPageBreak/>
              <w:t>difficult to follow flow of narrative or arguments made</w:t>
            </w:r>
          </w:p>
        </w:tc>
      </w:tr>
      <w:tr w:rsidR="0047358A" w:rsidRPr="00A808E0" w14:paraId="1304A260" w14:textId="77777777">
        <w:tc>
          <w:tcPr>
            <w:tcW w:w="2049" w:type="dxa"/>
            <w:vAlign w:val="center"/>
          </w:tcPr>
          <w:p w14:paraId="78EDE28F" w14:textId="77777777" w:rsidR="0047358A" w:rsidRPr="00A808E0" w:rsidRDefault="00645E77">
            <w:pPr>
              <w:rPr>
                <w:i/>
              </w:rPr>
            </w:pPr>
            <w:r w:rsidRPr="00A808E0">
              <w:rPr>
                <w:i/>
              </w:rPr>
              <w:lastRenderedPageBreak/>
              <w:t>Citations/References</w:t>
            </w:r>
          </w:p>
        </w:tc>
        <w:tc>
          <w:tcPr>
            <w:tcW w:w="2269" w:type="dxa"/>
          </w:tcPr>
          <w:p w14:paraId="591988F9" w14:textId="77777777" w:rsidR="0047358A" w:rsidRPr="00A808E0" w:rsidRDefault="00645E77">
            <w:r w:rsidRPr="00A808E0">
              <w:t xml:space="preserve">All references match citations; proper citation and reference style followed throughout </w:t>
            </w:r>
          </w:p>
        </w:tc>
        <w:tc>
          <w:tcPr>
            <w:tcW w:w="2451" w:type="dxa"/>
          </w:tcPr>
          <w:p w14:paraId="43A8B091" w14:textId="77777777" w:rsidR="0047358A" w:rsidRPr="00A808E0" w:rsidRDefault="00645E77">
            <w:r w:rsidRPr="00A808E0">
              <w:t>Correct citation and reference format used but occasional minor omissions or formatting problems</w:t>
            </w:r>
          </w:p>
        </w:tc>
        <w:tc>
          <w:tcPr>
            <w:tcW w:w="2581" w:type="dxa"/>
          </w:tcPr>
          <w:p w14:paraId="398A8B09" w14:textId="77777777" w:rsidR="0047358A" w:rsidRPr="00A808E0" w:rsidRDefault="00645E77">
            <w:r w:rsidRPr="00A808E0">
              <w:t>Inconsistencies between citations and references; incorrect citation or reference formatting</w:t>
            </w:r>
          </w:p>
        </w:tc>
      </w:tr>
    </w:tbl>
    <w:p w14:paraId="33D60901" w14:textId="77777777" w:rsidR="0047358A" w:rsidRPr="00A808E0" w:rsidRDefault="0047358A"/>
    <w:p w14:paraId="48E4CB91" w14:textId="5EEE1401" w:rsidR="0047358A" w:rsidRPr="00A808E0" w:rsidRDefault="00F73F0C">
      <w:r w:rsidRPr="00A808E0">
        <w:t xml:space="preserve">In fairness to students who turn in assignments on time, all late papers will be penalized by lowering the earned grade one grade level (e.g., from A- to B+; from B to B-) for each day that the assignment is late. No assignment submitted more than one week after the due date will be accepted. These penalties will not apply to students who know in advance that they will be submitting an assignment late, and let me know in advance. “In advance” means up until 24 hours before due date. </w:t>
      </w:r>
      <w:r w:rsidR="00645E77" w:rsidRPr="00A808E0">
        <w:t>I will use the following sche</w:t>
      </w:r>
      <w:r w:rsidRPr="00A808E0">
        <w:t>ma</w:t>
      </w:r>
      <w:r w:rsidR="00645E77" w:rsidRPr="00A808E0">
        <w:t xml:space="preserve"> as the basis for calculating grades: A = 94-100, A- = 90-93, B+ = 87-89, B = 84-86, B- = 80-83, C+ = 77-79, C = 74-76, C- = 70-73, D = 60-69, F &lt;60. </w:t>
      </w:r>
    </w:p>
    <w:p w14:paraId="0C625012" w14:textId="77777777" w:rsidR="0047358A" w:rsidRPr="00A808E0" w:rsidRDefault="00645E77">
      <w:pPr>
        <w:pStyle w:val="Heading1"/>
        <w:spacing w:before="240"/>
        <w:rPr>
          <w:rFonts w:ascii="Times New Roman" w:hAnsi="Times New Roman" w:cs="Times New Roman"/>
          <w:color w:val="auto"/>
          <w:sz w:val="24"/>
          <w:szCs w:val="24"/>
        </w:rPr>
      </w:pPr>
      <w:r w:rsidRPr="00A808E0">
        <w:rPr>
          <w:rFonts w:ascii="Times New Roman" w:hAnsi="Times New Roman" w:cs="Times New Roman"/>
          <w:color w:val="auto"/>
          <w:sz w:val="24"/>
          <w:szCs w:val="24"/>
        </w:rPr>
        <w:t xml:space="preserve">Course Schedule </w:t>
      </w:r>
    </w:p>
    <w:tbl>
      <w:tblPr>
        <w:tblStyle w:val="TableGrid"/>
        <w:tblW w:w="9445" w:type="dxa"/>
        <w:tblLayout w:type="fixed"/>
        <w:tblLook w:val="04A0" w:firstRow="1" w:lastRow="0" w:firstColumn="1" w:lastColumn="0" w:noHBand="0" w:noVBand="1"/>
      </w:tblPr>
      <w:tblGrid>
        <w:gridCol w:w="9445"/>
      </w:tblGrid>
      <w:tr w:rsidR="0047358A" w:rsidRPr="00A808E0" w14:paraId="2D63D9B2" w14:textId="77777777" w:rsidTr="00430543">
        <w:tc>
          <w:tcPr>
            <w:tcW w:w="9445" w:type="dxa"/>
          </w:tcPr>
          <w:p w14:paraId="73E00560" w14:textId="0AF3B5D9" w:rsidR="00FA3143" w:rsidRPr="00A808E0" w:rsidRDefault="00645E77" w:rsidP="00FA3143">
            <w:pPr>
              <w:numPr>
                <w:ilvl w:val="0"/>
                <w:numId w:val="6"/>
              </w:numPr>
              <w:shd w:val="clear" w:color="auto" w:fill="FFFFFF"/>
              <w:ind w:left="374"/>
            </w:pPr>
            <w:r w:rsidRPr="00A808E0">
              <w:rPr>
                <w:b/>
              </w:rPr>
              <w:t>Week 1</w:t>
            </w:r>
            <w:r w:rsidRPr="00A808E0">
              <w:t xml:space="preserve"> – </w:t>
            </w:r>
            <w:r w:rsidR="00247AEB" w:rsidRPr="00A808E0">
              <w:t xml:space="preserve">August </w:t>
            </w:r>
            <w:r w:rsidR="003B584C" w:rsidRPr="00A808E0">
              <w:t>2</w:t>
            </w:r>
            <w:r w:rsidR="007107B8" w:rsidRPr="00A808E0">
              <w:t>8</w:t>
            </w:r>
            <w:r w:rsidR="006B2BB0" w:rsidRPr="00A808E0">
              <w:t xml:space="preserve">, </w:t>
            </w:r>
            <w:r w:rsidR="00D131E3" w:rsidRPr="00A808E0">
              <w:t>202</w:t>
            </w:r>
            <w:r w:rsidR="007107B8" w:rsidRPr="00A808E0">
              <w:t>4</w:t>
            </w:r>
            <w:r w:rsidR="00FA3143" w:rsidRPr="00A808E0">
              <w:t xml:space="preserve"> </w:t>
            </w:r>
            <w:r w:rsidRPr="00A808E0">
              <w:tab/>
            </w:r>
            <w:r w:rsidR="006B2BB0" w:rsidRPr="00A808E0">
              <w:t xml:space="preserve">    </w:t>
            </w:r>
          </w:p>
          <w:p w14:paraId="76180848" w14:textId="77777777" w:rsidR="00FA3143" w:rsidRPr="00A808E0" w:rsidRDefault="00FA3143" w:rsidP="00FA3143">
            <w:pPr>
              <w:shd w:val="clear" w:color="auto" w:fill="FFFFFF"/>
              <w:tabs>
                <w:tab w:val="left" w:pos="720"/>
              </w:tabs>
              <w:ind w:left="14"/>
              <w:rPr>
                <w:b/>
              </w:rPr>
            </w:pPr>
          </w:p>
          <w:p w14:paraId="0DCA90D5" w14:textId="3E30ED9A" w:rsidR="00FA3143" w:rsidRPr="00A808E0" w:rsidRDefault="00FA3143" w:rsidP="00415B4C">
            <w:pPr>
              <w:shd w:val="clear" w:color="auto" w:fill="FFFFFF"/>
              <w:tabs>
                <w:tab w:val="left" w:pos="720"/>
              </w:tabs>
              <w:ind w:left="14"/>
            </w:pPr>
            <w:r w:rsidRPr="00A808E0">
              <w:t xml:space="preserve">UT </w:t>
            </w:r>
            <w:proofErr w:type="spellStart"/>
            <w:r w:rsidRPr="00A808E0">
              <w:t>iSchool</w:t>
            </w:r>
            <w:proofErr w:type="spellEnd"/>
            <w:r w:rsidRPr="00A808E0">
              <w:t xml:space="preserve"> PhD Student Handbook (</w:t>
            </w:r>
            <w:hyperlink r:id="rId12" w:history="1">
              <w:r w:rsidRPr="00A808E0">
                <w:rPr>
                  <w:rStyle w:val="Hyperlink"/>
                </w:rPr>
                <w:t>https://www.ischool.utexas.edu/handbooks/doctoral-program-handbook-current.pdf</w:t>
              </w:r>
            </w:hyperlink>
            <w:r w:rsidRPr="00A808E0">
              <w:t>)</w:t>
            </w:r>
          </w:p>
          <w:p w14:paraId="5C133C47" w14:textId="77777777" w:rsidR="007F2CA2" w:rsidRPr="00A808E0" w:rsidRDefault="007F2CA2" w:rsidP="007F2CA2">
            <w:pPr>
              <w:shd w:val="clear" w:color="auto" w:fill="FFFFFF"/>
              <w:tabs>
                <w:tab w:val="left" w:pos="720"/>
              </w:tabs>
            </w:pPr>
          </w:p>
          <w:p w14:paraId="5DB40192" w14:textId="1A755301" w:rsidR="00E53C37" w:rsidRPr="00A808E0" w:rsidRDefault="007F2CA2" w:rsidP="00A808E0">
            <w:pPr>
              <w:shd w:val="clear" w:color="auto" w:fill="FFFFFF"/>
              <w:tabs>
                <w:tab w:val="left" w:pos="720"/>
              </w:tabs>
            </w:pPr>
            <w:r w:rsidRPr="00A808E0">
              <w:t>Booth et al. Section I (Chapter 1-2) “Research, Researchers, and Readers”</w:t>
            </w:r>
          </w:p>
          <w:p w14:paraId="47E4BE43" w14:textId="77777777" w:rsidR="007F2CA2" w:rsidRPr="00A808E0" w:rsidRDefault="007F2CA2" w:rsidP="00FA3143">
            <w:pPr>
              <w:rPr>
                <w:b/>
              </w:rPr>
            </w:pPr>
          </w:p>
        </w:tc>
      </w:tr>
      <w:tr w:rsidR="0047358A" w:rsidRPr="00A808E0" w14:paraId="0FD40AC3" w14:textId="77777777" w:rsidTr="00430543">
        <w:tc>
          <w:tcPr>
            <w:tcW w:w="9445" w:type="dxa"/>
          </w:tcPr>
          <w:p w14:paraId="6FF20526" w14:textId="48A55B7D" w:rsidR="00FA3143" w:rsidRPr="00A808E0" w:rsidRDefault="00645E77" w:rsidP="00FA3143">
            <w:r w:rsidRPr="00A808E0">
              <w:rPr>
                <w:b/>
              </w:rPr>
              <w:t>Week 2</w:t>
            </w:r>
            <w:r w:rsidRPr="00A808E0">
              <w:t xml:space="preserve"> – </w:t>
            </w:r>
            <w:r w:rsidR="007107B8" w:rsidRPr="00A808E0">
              <w:t>Sep. 4</w:t>
            </w:r>
            <w:r w:rsidR="006B2BB0" w:rsidRPr="00A808E0">
              <w:t xml:space="preserve">, </w:t>
            </w:r>
            <w:proofErr w:type="gramStart"/>
            <w:r w:rsidR="006B2BB0" w:rsidRPr="00A808E0">
              <w:t>202</w:t>
            </w:r>
            <w:r w:rsidR="007107B8" w:rsidRPr="00A808E0">
              <w:t>4</w:t>
            </w:r>
            <w:proofErr w:type="gramEnd"/>
            <w:r w:rsidRPr="00A808E0">
              <w:t xml:space="preserve">     </w:t>
            </w:r>
            <w:r w:rsidR="00FA3143" w:rsidRPr="00A808E0">
              <w:t xml:space="preserve">Introduction and a brief touch on research </w:t>
            </w:r>
          </w:p>
          <w:p w14:paraId="32BC8209" w14:textId="77777777" w:rsidR="00FA3143" w:rsidRPr="00A808E0" w:rsidRDefault="00FA3143" w:rsidP="00FA3143"/>
          <w:p w14:paraId="077A82DF" w14:textId="70472F04" w:rsidR="00FA3143" w:rsidRPr="00A808E0" w:rsidRDefault="00FA3143" w:rsidP="00415B4C">
            <w:pPr>
              <w:shd w:val="clear" w:color="auto" w:fill="FFFFFF"/>
              <w:tabs>
                <w:tab w:val="left" w:pos="720"/>
              </w:tabs>
            </w:pPr>
            <w:r w:rsidRPr="00A808E0">
              <w:t xml:space="preserve">1. Discussing the use of Generative AI tools like ChatGPT in the class. You may read </w:t>
            </w:r>
            <w:r w:rsidRPr="00A808E0">
              <w:rPr>
                <w:lang w:bidi="en-US"/>
              </w:rPr>
              <w:t>Center for Teaching and Learning’s “5 Things to Know about ChatGPT” webpage</w:t>
            </w:r>
            <w:r w:rsidRPr="00A808E0">
              <w:rPr>
                <w:rStyle w:val="Hyperlink"/>
                <w:lang w:bidi="en-US"/>
              </w:rPr>
              <w:t xml:space="preserve">: </w:t>
            </w:r>
            <w:hyperlink r:id="rId13" w:history="1">
              <w:r w:rsidRPr="00A808E0">
                <w:rPr>
                  <w:rStyle w:val="Hyperlink"/>
                  <w:lang w:bidi="en-US"/>
                </w:rPr>
                <w:t>https://ctl.utexas.edu/5-things-know-about-chatgpt</w:t>
              </w:r>
            </w:hyperlink>
            <w:r w:rsidRPr="00A808E0">
              <w:rPr>
                <w:rStyle w:val="Hyperlink"/>
                <w:lang w:bidi="en-US"/>
              </w:rPr>
              <w:t xml:space="preserve"> </w:t>
            </w:r>
          </w:p>
          <w:p w14:paraId="01FB4802" w14:textId="77777777" w:rsidR="00FA3143" w:rsidRPr="00A808E0" w:rsidRDefault="00FA3143" w:rsidP="00FA3143">
            <w:pPr>
              <w:rPr>
                <w:b/>
              </w:rPr>
            </w:pPr>
          </w:p>
          <w:p w14:paraId="26415014" w14:textId="77777777" w:rsidR="00FA3143" w:rsidRPr="00A808E0" w:rsidRDefault="00FA3143" w:rsidP="00FA3143">
            <w:pPr>
              <w:numPr>
                <w:ilvl w:val="0"/>
                <w:numId w:val="6"/>
              </w:numPr>
              <w:shd w:val="clear" w:color="auto" w:fill="FFFFFF"/>
              <w:ind w:left="374"/>
            </w:pPr>
            <w:r w:rsidRPr="00A808E0">
              <w:t>Booth et al. Section III (Chapters 7-11) “Making an Argument”</w:t>
            </w:r>
          </w:p>
          <w:p w14:paraId="32A9C870" w14:textId="77777777" w:rsidR="00FA3143" w:rsidRPr="00A808E0" w:rsidRDefault="00FA3143" w:rsidP="00FA3143">
            <w:pPr>
              <w:numPr>
                <w:ilvl w:val="0"/>
                <w:numId w:val="6"/>
              </w:numPr>
              <w:shd w:val="clear" w:color="auto" w:fill="FFFFFF"/>
              <w:ind w:left="374"/>
            </w:pPr>
            <w:r w:rsidRPr="00A808E0">
              <w:t xml:space="preserve">Davis (1971) “That’s interesting”  </w:t>
            </w:r>
          </w:p>
          <w:p w14:paraId="143D5434" w14:textId="77777777" w:rsidR="0047358A" w:rsidRPr="002E4223" w:rsidRDefault="0047358A" w:rsidP="00415B4C">
            <w:pPr>
              <w:pStyle w:val="ListParagraph1"/>
              <w:ind w:left="0"/>
              <w:rPr>
                <w:rFonts w:ascii="Times New Roman" w:hAnsi="Times New Roman" w:cs="Times New Roman"/>
                <w:b/>
              </w:rPr>
            </w:pPr>
          </w:p>
        </w:tc>
      </w:tr>
      <w:tr w:rsidR="007C0B13" w:rsidRPr="00A808E0" w14:paraId="7F71D878" w14:textId="77777777" w:rsidTr="00430543">
        <w:tc>
          <w:tcPr>
            <w:tcW w:w="9445" w:type="dxa"/>
          </w:tcPr>
          <w:p w14:paraId="58A4F05C" w14:textId="6768AABD" w:rsidR="00FA3143" w:rsidRPr="00A808E0" w:rsidRDefault="007C0B13" w:rsidP="00FA3143">
            <w:pPr>
              <w:pStyle w:val="ListParagraph1"/>
              <w:ind w:left="0"/>
              <w:rPr>
                <w:rFonts w:ascii="Times New Roman" w:hAnsi="Times New Roman" w:cs="Times New Roman"/>
                <w:sz w:val="24"/>
                <w:szCs w:val="24"/>
                <w:lang w:eastAsia="zh-CN"/>
              </w:rPr>
            </w:pPr>
            <w:r w:rsidRPr="002E4223">
              <w:rPr>
                <w:rFonts w:ascii="Times New Roman" w:hAnsi="Times New Roman" w:cs="Times New Roman"/>
                <w:b/>
              </w:rPr>
              <w:t>Week 3</w:t>
            </w:r>
            <w:r w:rsidRPr="002E4223">
              <w:rPr>
                <w:rFonts w:ascii="Times New Roman" w:hAnsi="Times New Roman" w:cs="Times New Roman"/>
              </w:rPr>
              <w:t xml:space="preserve"> – </w:t>
            </w:r>
            <w:r w:rsidR="003909D0" w:rsidRPr="00A808E0">
              <w:rPr>
                <w:rFonts w:ascii="Times New Roman" w:eastAsia="Times New Roman" w:hAnsi="Times New Roman" w:cs="Times New Roman"/>
                <w:sz w:val="24"/>
                <w:szCs w:val="24"/>
                <w:lang w:eastAsia="zh-CN"/>
              </w:rPr>
              <w:t xml:space="preserve">Sep </w:t>
            </w:r>
            <w:r w:rsidR="007107B8" w:rsidRPr="00A808E0">
              <w:rPr>
                <w:rFonts w:ascii="Times New Roman" w:eastAsia="Times New Roman" w:hAnsi="Times New Roman" w:cs="Times New Roman"/>
                <w:sz w:val="24"/>
                <w:szCs w:val="24"/>
                <w:lang w:eastAsia="zh-CN"/>
              </w:rPr>
              <w:t>11</w:t>
            </w:r>
            <w:r w:rsidRPr="00A808E0">
              <w:rPr>
                <w:rFonts w:ascii="Times New Roman" w:eastAsia="Times New Roman" w:hAnsi="Times New Roman" w:cs="Times New Roman"/>
                <w:sz w:val="24"/>
                <w:szCs w:val="24"/>
                <w:lang w:eastAsia="zh-CN"/>
              </w:rPr>
              <w:t xml:space="preserve">, </w:t>
            </w:r>
            <w:proofErr w:type="gramStart"/>
            <w:r w:rsidRPr="00A808E0">
              <w:rPr>
                <w:rFonts w:ascii="Times New Roman" w:eastAsia="Times New Roman" w:hAnsi="Times New Roman" w:cs="Times New Roman"/>
                <w:sz w:val="24"/>
                <w:szCs w:val="24"/>
                <w:lang w:eastAsia="zh-CN"/>
              </w:rPr>
              <w:t>202</w:t>
            </w:r>
            <w:r w:rsidR="007107B8" w:rsidRPr="00A808E0">
              <w:rPr>
                <w:rFonts w:ascii="Times New Roman" w:eastAsia="Times New Roman" w:hAnsi="Times New Roman" w:cs="Times New Roman"/>
                <w:sz w:val="24"/>
                <w:szCs w:val="24"/>
                <w:lang w:eastAsia="zh-CN"/>
              </w:rPr>
              <w:t>4</w:t>
            </w:r>
            <w:proofErr w:type="gramEnd"/>
            <w:r w:rsidRPr="00A808E0">
              <w:rPr>
                <w:rFonts w:ascii="Times New Roman" w:eastAsia="Times New Roman" w:hAnsi="Times New Roman" w:cs="Times New Roman"/>
                <w:sz w:val="24"/>
                <w:szCs w:val="24"/>
                <w:lang w:eastAsia="zh-CN"/>
              </w:rPr>
              <w:t xml:space="preserve">     </w:t>
            </w:r>
            <w:proofErr w:type="spellStart"/>
            <w:r w:rsidR="00FA3143" w:rsidRPr="00A808E0">
              <w:rPr>
                <w:rFonts w:ascii="Times New Roman" w:hAnsi="Times New Roman" w:cs="Times New Roman"/>
                <w:sz w:val="24"/>
                <w:szCs w:val="24"/>
              </w:rPr>
              <w:t>iSchool</w:t>
            </w:r>
            <w:proofErr w:type="spellEnd"/>
            <w:r w:rsidR="00FA3143" w:rsidRPr="00A808E0">
              <w:rPr>
                <w:rFonts w:ascii="Times New Roman" w:hAnsi="Times New Roman" w:cs="Times New Roman"/>
                <w:sz w:val="24"/>
                <w:szCs w:val="24"/>
              </w:rPr>
              <w:t xml:space="preserve"> phenomenon</w:t>
            </w:r>
          </w:p>
          <w:p w14:paraId="4AA5DBA8" w14:textId="77777777" w:rsidR="00FA3143" w:rsidRPr="00A808E0" w:rsidRDefault="00FA3143" w:rsidP="00FA3143">
            <w:pPr>
              <w:numPr>
                <w:ilvl w:val="0"/>
                <w:numId w:val="19"/>
              </w:numPr>
              <w:shd w:val="clear" w:color="auto" w:fill="FFFFFF"/>
              <w:tabs>
                <w:tab w:val="left" w:pos="720"/>
              </w:tabs>
            </w:pPr>
            <w:r w:rsidRPr="00A808E0">
              <w:t xml:space="preserve">Olson, Gary, &amp; </w:t>
            </w:r>
            <w:proofErr w:type="spellStart"/>
            <w:r w:rsidRPr="00A808E0">
              <w:t>Grudin</w:t>
            </w:r>
            <w:proofErr w:type="spellEnd"/>
            <w:r w:rsidRPr="00A808E0">
              <w:t xml:space="preserve">, Jonathan (2009). TIMELINES The information school phenomenon. </w:t>
            </w:r>
            <w:r w:rsidRPr="00A808E0">
              <w:rPr>
                <w:i/>
                <w:iCs/>
              </w:rPr>
              <w:t>Interactions</w:t>
            </w:r>
            <w:r w:rsidRPr="00A808E0">
              <w:t xml:space="preserve">. </w:t>
            </w:r>
            <w:hyperlink r:id="rId14" w:history="1">
              <w:r w:rsidRPr="00A808E0">
                <w:rPr>
                  <w:rStyle w:val="Hyperlink"/>
                </w:rPr>
                <w:t>https://dl.acm.org/doi/abs/10.1145/1487632.1487636</w:t>
              </w:r>
            </w:hyperlink>
          </w:p>
          <w:p w14:paraId="57E88B87" w14:textId="77777777" w:rsidR="00FA3143" w:rsidRPr="00A808E0" w:rsidRDefault="00FA3143" w:rsidP="00FA3143">
            <w:pPr>
              <w:numPr>
                <w:ilvl w:val="0"/>
                <w:numId w:val="19"/>
              </w:numPr>
              <w:shd w:val="clear" w:color="auto" w:fill="FFFFFF"/>
              <w:tabs>
                <w:tab w:val="left" w:pos="720"/>
              </w:tabs>
              <w:ind w:left="374"/>
            </w:pPr>
            <w:r w:rsidRPr="00A808E0">
              <w:t xml:space="preserve">Dillon, A. (2012). What it Means to be an </w:t>
            </w:r>
            <w:proofErr w:type="spellStart"/>
            <w:r w:rsidRPr="00A808E0">
              <w:t>iSchool</w:t>
            </w:r>
            <w:proofErr w:type="spellEnd"/>
            <w:r w:rsidRPr="00A808E0">
              <w:t xml:space="preserve">. </w:t>
            </w:r>
            <w:r w:rsidRPr="00A808E0">
              <w:rPr>
                <w:i/>
                <w:iCs/>
              </w:rPr>
              <w:t>Journal of Education for Library and Information Science</w:t>
            </w:r>
            <w:r w:rsidRPr="00A808E0">
              <w:t xml:space="preserve">, </w:t>
            </w:r>
            <w:r w:rsidRPr="00A808E0">
              <w:rPr>
                <w:i/>
                <w:iCs/>
              </w:rPr>
              <w:t>53</w:t>
            </w:r>
            <w:r w:rsidRPr="00A808E0">
              <w:t xml:space="preserve">(4), 267–273. JSTOR. </w:t>
            </w:r>
          </w:p>
          <w:p w14:paraId="0F3DAF89" w14:textId="77777777" w:rsidR="00FA3143" w:rsidRPr="00A808E0" w:rsidRDefault="00FA3143" w:rsidP="00FA3143">
            <w:pPr>
              <w:numPr>
                <w:ilvl w:val="0"/>
                <w:numId w:val="19"/>
              </w:numPr>
              <w:shd w:val="clear" w:color="auto" w:fill="FFFFFF"/>
              <w:tabs>
                <w:tab w:val="left" w:pos="720"/>
              </w:tabs>
              <w:ind w:left="374"/>
              <w:rPr>
                <w:rStyle w:val="Hyperlink"/>
                <w:color w:val="auto"/>
                <w:u w:val="none"/>
              </w:rPr>
            </w:pPr>
            <w:r w:rsidRPr="00A808E0">
              <w:t xml:space="preserve">Wiggins, A., &amp; Sawyer, S. (2012). Intellectual diversity and the faculty composition of </w:t>
            </w:r>
            <w:proofErr w:type="spellStart"/>
            <w:r w:rsidRPr="00A808E0">
              <w:t>iSchools</w:t>
            </w:r>
            <w:proofErr w:type="spellEnd"/>
            <w:r w:rsidRPr="00A808E0">
              <w:t xml:space="preserve">. </w:t>
            </w:r>
            <w:r w:rsidRPr="00A808E0">
              <w:rPr>
                <w:i/>
                <w:iCs/>
              </w:rPr>
              <w:t>Journal of the American Society for Information Science and Technology</w:t>
            </w:r>
            <w:r w:rsidRPr="00A808E0">
              <w:t xml:space="preserve">, </w:t>
            </w:r>
            <w:r w:rsidRPr="00A808E0">
              <w:rPr>
                <w:i/>
                <w:iCs/>
              </w:rPr>
              <w:t>63</w:t>
            </w:r>
            <w:r w:rsidRPr="00A808E0">
              <w:t xml:space="preserve">(1), 8–21. </w:t>
            </w:r>
            <w:hyperlink r:id="rId15" w:history="1">
              <w:r w:rsidRPr="00A808E0">
                <w:rPr>
                  <w:rStyle w:val="Hyperlink"/>
                </w:rPr>
                <w:t>https://doi.org/10.1002/asi.21619</w:t>
              </w:r>
            </w:hyperlink>
          </w:p>
          <w:p w14:paraId="4C83C70D" w14:textId="77777777" w:rsidR="00FA3143" w:rsidRPr="00A808E0" w:rsidRDefault="00FA3143" w:rsidP="00FA3143">
            <w:pPr>
              <w:shd w:val="clear" w:color="auto" w:fill="FFFFFF"/>
              <w:ind w:left="720"/>
            </w:pPr>
          </w:p>
          <w:p w14:paraId="767824F9" w14:textId="77777777" w:rsidR="00FA3143" w:rsidRPr="00A808E0" w:rsidRDefault="00FA3143" w:rsidP="00FA3143">
            <w:pPr>
              <w:numPr>
                <w:ilvl w:val="0"/>
                <w:numId w:val="19"/>
              </w:numPr>
              <w:shd w:val="clear" w:color="auto" w:fill="FFFFFF"/>
              <w:tabs>
                <w:tab w:val="left" w:pos="720"/>
              </w:tabs>
              <w:ind w:left="374"/>
            </w:pPr>
            <w:r w:rsidRPr="00A808E0">
              <w:lastRenderedPageBreak/>
              <w:t>Machi &amp; McEvoy, Introduction (Doing and producing literature review); Chapter 1 – Step 1</w:t>
            </w:r>
          </w:p>
          <w:p w14:paraId="591E6E14" w14:textId="77777777" w:rsidR="007C0B13" w:rsidRPr="00A808E0" w:rsidRDefault="007C0B13" w:rsidP="00415B4C"/>
        </w:tc>
      </w:tr>
      <w:tr w:rsidR="0047358A" w:rsidRPr="00A808E0" w14:paraId="7F2CD462" w14:textId="77777777" w:rsidTr="00430543">
        <w:tc>
          <w:tcPr>
            <w:tcW w:w="9445" w:type="dxa"/>
          </w:tcPr>
          <w:p w14:paraId="55B8EC51" w14:textId="345907B8" w:rsidR="00FA3143" w:rsidRPr="00A808E0" w:rsidRDefault="00645E77" w:rsidP="00FA3143">
            <w:r w:rsidRPr="00A808E0">
              <w:rPr>
                <w:b/>
              </w:rPr>
              <w:lastRenderedPageBreak/>
              <w:t xml:space="preserve">Week </w:t>
            </w:r>
            <w:r w:rsidR="002C712E" w:rsidRPr="00A808E0">
              <w:rPr>
                <w:b/>
              </w:rPr>
              <w:t>4</w:t>
            </w:r>
            <w:r w:rsidRPr="00A808E0">
              <w:t xml:space="preserve"> – </w:t>
            </w:r>
            <w:r w:rsidR="003909D0" w:rsidRPr="00A808E0">
              <w:t xml:space="preserve">Sep </w:t>
            </w:r>
            <w:r w:rsidR="00BC3481" w:rsidRPr="00A808E0">
              <w:t>1</w:t>
            </w:r>
            <w:r w:rsidR="007107B8" w:rsidRPr="00A808E0">
              <w:t>8</w:t>
            </w:r>
            <w:r w:rsidR="000A5419" w:rsidRPr="00A808E0">
              <w:t xml:space="preserve">, </w:t>
            </w:r>
            <w:proofErr w:type="gramStart"/>
            <w:r w:rsidR="000A5419" w:rsidRPr="00A808E0">
              <w:t>202</w:t>
            </w:r>
            <w:r w:rsidR="007107B8" w:rsidRPr="00A808E0">
              <w:t>4</w:t>
            </w:r>
            <w:proofErr w:type="gramEnd"/>
            <w:r w:rsidRPr="00A808E0">
              <w:t xml:space="preserve">    </w:t>
            </w:r>
            <w:r w:rsidR="00FA3143" w:rsidRPr="00A808E0">
              <w:t xml:space="preserve">Information Organization </w:t>
            </w:r>
          </w:p>
          <w:p w14:paraId="324EB692" w14:textId="77777777" w:rsidR="00FA3143" w:rsidRPr="00A808E0" w:rsidRDefault="00FA3143" w:rsidP="00FA3143"/>
          <w:p w14:paraId="10BEBC09" w14:textId="77777777" w:rsidR="00FA3143" w:rsidRPr="00A808E0" w:rsidRDefault="00FA3143" w:rsidP="00FA3143">
            <w:pPr>
              <w:numPr>
                <w:ilvl w:val="0"/>
                <w:numId w:val="20"/>
              </w:numPr>
              <w:shd w:val="clear" w:color="auto" w:fill="FFFFFF"/>
              <w:tabs>
                <w:tab w:val="left" w:pos="720"/>
              </w:tabs>
              <w:rPr>
                <w:szCs w:val="20"/>
              </w:rPr>
            </w:pPr>
            <w:proofErr w:type="spellStart"/>
            <w:r w:rsidRPr="00A808E0">
              <w:rPr>
                <w:szCs w:val="20"/>
              </w:rPr>
              <w:t>Svenonius</w:t>
            </w:r>
            <w:proofErr w:type="spellEnd"/>
            <w:r w:rsidRPr="00A808E0">
              <w:rPr>
                <w:szCs w:val="20"/>
              </w:rPr>
              <w:t xml:space="preserve"> (2001) Information organization. Chapter 1 in book: The Intellectual Foundation of Information Organization, pp.1-15. </w:t>
            </w:r>
          </w:p>
          <w:p w14:paraId="00405334" w14:textId="77777777" w:rsidR="00FA3143" w:rsidRPr="00A808E0" w:rsidRDefault="00FA3143" w:rsidP="00FA3143">
            <w:pPr>
              <w:numPr>
                <w:ilvl w:val="0"/>
                <w:numId w:val="20"/>
              </w:numPr>
              <w:shd w:val="clear" w:color="auto" w:fill="FFFFFF"/>
              <w:tabs>
                <w:tab w:val="left" w:pos="720"/>
              </w:tabs>
              <w:ind w:left="374"/>
              <w:rPr>
                <w:szCs w:val="20"/>
              </w:rPr>
            </w:pPr>
            <w:r w:rsidRPr="00A808E0">
              <w:rPr>
                <w:szCs w:val="20"/>
              </w:rPr>
              <w:t>Star and Bowker (2007) Enacting Silence </w:t>
            </w:r>
          </w:p>
          <w:p w14:paraId="3EC4B2A1" w14:textId="77777777" w:rsidR="00FA3143" w:rsidRPr="00A808E0" w:rsidRDefault="00FA3143" w:rsidP="00FA3143">
            <w:pPr>
              <w:numPr>
                <w:ilvl w:val="0"/>
                <w:numId w:val="20"/>
              </w:numPr>
              <w:shd w:val="clear" w:color="auto" w:fill="FFFFFF"/>
              <w:tabs>
                <w:tab w:val="left" w:pos="720"/>
              </w:tabs>
              <w:ind w:left="374"/>
              <w:rPr>
                <w:szCs w:val="20"/>
              </w:rPr>
            </w:pPr>
            <w:r w:rsidRPr="00A808E0">
              <w:rPr>
                <w:szCs w:val="20"/>
              </w:rPr>
              <w:t xml:space="preserve">Mai (2010) Classification in a social world  </w:t>
            </w:r>
          </w:p>
          <w:p w14:paraId="1B05A1EF" w14:textId="77777777" w:rsidR="00FA3143" w:rsidRPr="00A808E0" w:rsidRDefault="00FA3143" w:rsidP="00FA3143">
            <w:pPr>
              <w:numPr>
                <w:ilvl w:val="0"/>
                <w:numId w:val="20"/>
              </w:numPr>
              <w:shd w:val="clear" w:color="auto" w:fill="FFFFFF"/>
              <w:tabs>
                <w:tab w:val="left" w:pos="720"/>
              </w:tabs>
              <w:ind w:left="374"/>
              <w:rPr>
                <w:szCs w:val="20"/>
              </w:rPr>
            </w:pPr>
            <w:r w:rsidRPr="00A808E0">
              <w:rPr>
                <w:szCs w:val="20"/>
              </w:rPr>
              <w:t>Feinberg, M. (2011). How information systems communicate as documents: the concept of authorial voice. Journal of Documentation, 67(6), 1015–1037.</w:t>
            </w:r>
          </w:p>
          <w:p w14:paraId="42220EB6" w14:textId="77777777" w:rsidR="00FA3143" w:rsidRPr="00A808E0" w:rsidRDefault="00FA3143" w:rsidP="00FA3143">
            <w:pPr>
              <w:shd w:val="clear" w:color="auto" w:fill="FFFFFF"/>
              <w:tabs>
                <w:tab w:val="left" w:pos="360"/>
                <w:tab w:val="left" w:pos="720"/>
              </w:tabs>
              <w:ind w:left="374"/>
              <w:rPr>
                <w:szCs w:val="20"/>
              </w:rPr>
            </w:pPr>
          </w:p>
          <w:p w14:paraId="2F9B417F" w14:textId="77777777" w:rsidR="00FA3143" w:rsidRPr="00A808E0" w:rsidRDefault="00FA3143" w:rsidP="00FA3143">
            <w:pPr>
              <w:numPr>
                <w:ilvl w:val="0"/>
                <w:numId w:val="20"/>
              </w:numPr>
              <w:shd w:val="clear" w:color="auto" w:fill="FFFFFF"/>
              <w:tabs>
                <w:tab w:val="left" w:pos="720"/>
              </w:tabs>
              <w:ind w:left="374"/>
              <w:rPr>
                <w:szCs w:val="20"/>
              </w:rPr>
            </w:pPr>
            <w:r w:rsidRPr="00A808E0">
              <w:rPr>
                <w:szCs w:val="20"/>
              </w:rPr>
              <w:t xml:space="preserve">Booth et al. Section II, Chapter 3-4 (Topics, Questions, and Problem) </w:t>
            </w:r>
          </w:p>
          <w:p w14:paraId="722C75C2" w14:textId="77777777" w:rsidR="00FA3143" w:rsidRPr="00A808E0" w:rsidRDefault="00FA3143" w:rsidP="00FA3143">
            <w:pPr>
              <w:numPr>
                <w:ilvl w:val="0"/>
                <w:numId w:val="20"/>
              </w:numPr>
              <w:shd w:val="clear" w:color="auto" w:fill="FFFFFF"/>
              <w:tabs>
                <w:tab w:val="left" w:pos="720"/>
              </w:tabs>
              <w:ind w:left="374"/>
              <w:rPr>
                <w:szCs w:val="20"/>
              </w:rPr>
            </w:pPr>
            <w:r w:rsidRPr="00A808E0">
              <w:rPr>
                <w:szCs w:val="20"/>
              </w:rPr>
              <w:t>Machi &amp; McEvoy, Chapter 2 – Step 2</w:t>
            </w:r>
          </w:p>
          <w:p w14:paraId="2B5F397A" w14:textId="77777777" w:rsidR="0047358A" w:rsidRPr="00A808E0" w:rsidRDefault="0047358A" w:rsidP="00FA3143">
            <w:pPr>
              <w:rPr>
                <w:szCs w:val="20"/>
              </w:rPr>
            </w:pPr>
          </w:p>
        </w:tc>
      </w:tr>
      <w:tr w:rsidR="0047358A" w:rsidRPr="00A808E0" w14:paraId="283018D0" w14:textId="77777777" w:rsidTr="00430543">
        <w:tc>
          <w:tcPr>
            <w:tcW w:w="9445" w:type="dxa"/>
          </w:tcPr>
          <w:p w14:paraId="1DA5E19D" w14:textId="27C7F7A5" w:rsidR="00FA3143" w:rsidRPr="00A808E0" w:rsidRDefault="00645E77" w:rsidP="00FA3143">
            <w:r w:rsidRPr="00A808E0">
              <w:rPr>
                <w:b/>
              </w:rPr>
              <w:t xml:space="preserve">Week </w:t>
            </w:r>
            <w:r w:rsidR="002C712E" w:rsidRPr="00A808E0">
              <w:rPr>
                <w:b/>
              </w:rPr>
              <w:t>5</w:t>
            </w:r>
            <w:r w:rsidRPr="00A808E0">
              <w:t xml:space="preserve"> – </w:t>
            </w:r>
            <w:r w:rsidR="003909D0" w:rsidRPr="00A808E0">
              <w:t>Sep 2</w:t>
            </w:r>
            <w:r w:rsidR="007107B8" w:rsidRPr="00A808E0">
              <w:t>5</w:t>
            </w:r>
            <w:r w:rsidR="000A5419" w:rsidRPr="00A808E0">
              <w:t xml:space="preserve">, </w:t>
            </w:r>
            <w:proofErr w:type="gramStart"/>
            <w:r w:rsidR="000A5419" w:rsidRPr="00A808E0">
              <w:t>202</w:t>
            </w:r>
            <w:r w:rsidR="007107B8" w:rsidRPr="00A808E0">
              <w:t>4</w:t>
            </w:r>
            <w:proofErr w:type="gramEnd"/>
            <w:r w:rsidRPr="00A808E0">
              <w:t xml:space="preserve">     </w:t>
            </w:r>
            <w:r w:rsidR="00FA3143" w:rsidRPr="00A808E0">
              <w:t xml:space="preserve">Information Behavior </w:t>
            </w:r>
          </w:p>
          <w:p w14:paraId="7FCD18DA" w14:textId="77777777" w:rsidR="00FA3143" w:rsidRPr="00A808E0" w:rsidRDefault="00FA3143" w:rsidP="00FA3143"/>
          <w:p w14:paraId="7A3F54B5" w14:textId="77777777" w:rsidR="00FA3143" w:rsidRPr="00A808E0" w:rsidRDefault="00FA3143" w:rsidP="00FA3143">
            <w:pPr>
              <w:numPr>
                <w:ilvl w:val="0"/>
                <w:numId w:val="7"/>
              </w:numPr>
              <w:shd w:val="clear" w:color="auto" w:fill="FFFFFF"/>
              <w:rPr>
                <w:szCs w:val="20"/>
              </w:rPr>
            </w:pPr>
            <w:proofErr w:type="spellStart"/>
            <w:r w:rsidRPr="00A808E0">
              <w:rPr>
                <w:szCs w:val="20"/>
              </w:rPr>
              <w:t>Dervin</w:t>
            </w:r>
            <w:proofErr w:type="spellEnd"/>
            <w:r w:rsidRPr="00A808E0">
              <w:rPr>
                <w:szCs w:val="20"/>
              </w:rPr>
              <w:t xml:space="preserve">, B., &amp; Nilan, M. (1986). Information needs and uses. Annual review of information science and technology, 21, 3–33. </w:t>
            </w:r>
          </w:p>
          <w:p w14:paraId="6AA1AB26" w14:textId="77777777" w:rsidR="00FA3143" w:rsidRPr="00A808E0" w:rsidRDefault="00FA3143" w:rsidP="00FA3143">
            <w:pPr>
              <w:numPr>
                <w:ilvl w:val="0"/>
                <w:numId w:val="7"/>
              </w:numPr>
              <w:shd w:val="clear" w:color="auto" w:fill="FFFFFF"/>
              <w:rPr>
                <w:szCs w:val="20"/>
              </w:rPr>
            </w:pPr>
            <w:r w:rsidRPr="00A808E0">
              <w:rPr>
                <w:szCs w:val="20"/>
              </w:rPr>
              <w:t>Pettigrew, K. E., Fidel, R., &amp; Bruce, H. (2001). Conceptual frameworks in information behavior. Annual review of information science and technology (ARIST), 35, 43–78. 3.</w:t>
            </w:r>
          </w:p>
          <w:p w14:paraId="572FB356" w14:textId="77777777" w:rsidR="00FA3143" w:rsidRPr="00A808E0" w:rsidRDefault="00FA3143" w:rsidP="00FA3143">
            <w:pPr>
              <w:numPr>
                <w:ilvl w:val="0"/>
                <w:numId w:val="7"/>
              </w:numPr>
              <w:shd w:val="clear" w:color="auto" w:fill="FFFFFF"/>
              <w:rPr>
                <w:szCs w:val="20"/>
              </w:rPr>
            </w:pPr>
            <w:r w:rsidRPr="00A808E0">
              <w:rPr>
                <w:szCs w:val="20"/>
              </w:rPr>
              <w:t xml:space="preserve">Bates, Marcia J. (1989). The Design of Browsing and </w:t>
            </w:r>
            <w:proofErr w:type="spellStart"/>
            <w:r w:rsidRPr="00A808E0">
              <w:rPr>
                <w:szCs w:val="20"/>
              </w:rPr>
              <w:t>Berrypicking</w:t>
            </w:r>
            <w:proofErr w:type="spellEnd"/>
            <w:r w:rsidRPr="00A808E0">
              <w:rPr>
                <w:szCs w:val="20"/>
              </w:rPr>
              <w:t xml:space="preserve"> Techniques for the Online Search Interface. Online Review 13(5): 407-424.</w:t>
            </w:r>
          </w:p>
          <w:p w14:paraId="5BFFBE9C" w14:textId="77777777" w:rsidR="00FA3143" w:rsidRPr="002E4223" w:rsidRDefault="00FA3143" w:rsidP="00FA3143">
            <w:pPr>
              <w:numPr>
                <w:ilvl w:val="0"/>
                <w:numId w:val="7"/>
              </w:numPr>
              <w:shd w:val="clear" w:color="auto" w:fill="FFFFFF"/>
              <w:rPr>
                <w:b/>
              </w:rPr>
            </w:pPr>
            <w:proofErr w:type="spellStart"/>
            <w:r w:rsidRPr="00A808E0">
              <w:rPr>
                <w:szCs w:val="20"/>
              </w:rPr>
              <w:t>Poltrock</w:t>
            </w:r>
            <w:proofErr w:type="spellEnd"/>
            <w:r w:rsidRPr="00A808E0">
              <w:rPr>
                <w:szCs w:val="20"/>
              </w:rPr>
              <w:t>, S. et al. (2003). Information seeking and sharing in design teams. Group’03 (pp. 239-247).</w:t>
            </w:r>
          </w:p>
          <w:p w14:paraId="16B7C739" w14:textId="77777777" w:rsidR="002E4223" w:rsidRPr="00A808E0" w:rsidRDefault="002E4223" w:rsidP="002E4223">
            <w:pPr>
              <w:shd w:val="clear" w:color="auto" w:fill="FFFFFF"/>
              <w:tabs>
                <w:tab w:val="left" w:pos="360"/>
              </w:tabs>
              <w:ind w:left="360"/>
              <w:rPr>
                <w:b/>
              </w:rPr>
            </w:pPr>
          </w:p>
          <w:p w14:paraId="27FFD058" w14:textId="732BC7CA" w:rsidR="00FA3143" w:rsidRPr="002E4223" w:rsidRDefault="00FA3143" w:rsidP="002E4223">
            <w:pPr>
              <w:numPr>
                <w:ilvl w:val="0"/>
                <w:numId w:val="7"/>
              </w:numPr>
              <w:shd w:val="clear" w:color="auto" w:fill="FFFFFF"/>
              <w:rPr>
                <w:szCs w:val="20"/>
              </w:rPr>
            </w:pPr>
            <w:r w:rsidRPr="00A808E0">
              <w:rPr>
                <w:szCs w:val="20"/>
              </w:rPr>
              <w:t>Booth et al. Section II, Chapter 5-6 (Sources and Engaging Sources)</w:t>
            </w:r>
          </w:p>
          <w:p w14:paraId="1BE89936" w14:textId="77777777" w:rsidR="00FA3143" w:rsidRPr="00A808E0" w:rsidRDefault="00FA3143" w:rsidP="00FA3143">
            <w:pPr>
              <w:numPr>
                <w:ilvl w:val="0"/>
                <w:numId w:val="7"/>
              </w:numPr>
              <w:shd w:val="clear" w:color="auto" w:fill="FFFFFF"/>
              <w:rPr>
                <w:szCs w:val="20"/>
              </w:rPr>
            </w:pPr>
            <w:r w:rsidRPr="00A808E0">
              <w:rPr>
                <w:szCs w:val="20"/>
              </w:rPr>
              <w:t>Machi &amp; McEvoy, Chapter 3 – Step 3</w:t>
            </w:r>
          </w:p>
          <w:p w14:paraId="5E9C2B25" w14:textId="77777777" w:rsidR="0047358A" w:rsidRPr="00A808E0" w:rsidRDefault="0047358A" w:rsidP="00FA3143">
            <w:pPr>
              <w:rPr>
                <w:b/>
              </w:rPr>
            </w:pPr>
          </w:p>
        </w:tc>
      </w:tr>
      <w:tr w:rsidR="0047358A" w:rsidRPr="00A808E0" w14:paraId="5A4433DC" w14:textId="77777777" w:rsidTr="00430543">
        <w:tc>
          <w:tcPr>
            <w:tcW w:w="9445" w:type="dxa"/>
          </w:tcPr>
          <w:p w14:paraId="1CE3CDB9" w14:textId="2BF2E589" w:rsidR="00FA3143" w:rsidRPr="00A808E0" w:rsidRDefault="00645E77" w:rsidP="00FA3143">
            <w:r w:rsidRPr="00A808E0">
              <w:rPr>
                <w:b/>
              </w:rPr>
              <w:t xml:space="preserve">Week </w:t>
            </w:r>
            <w:r w:rsidR="002C712E" w:rsidRPr="00A808E0">
              <w:rPr>
                <w:b/>
              </w:rPr>
              <w:t>6</w:t>
            </w:r>
            <w:r w:rsidR="002C712E" w:rsidRPr="00A808E0">
              <w:t xml:space="preserve"> </w:t>
            </w:r>
            <w:r w:rsidRPr="00A808E0">
              <w:t xml:space="preserve">– </w:t>
            </w:r>
            <w:r w:rsidR="007107B8" w:rsidRPr="00A808E0">
              <w:t>Oct</w:t>
            </w:r>
            <w:r w:rsidR="00BC3481" w:rsidRPr="00A808E0">
              <w:t xml:space="preserve"> 2</w:t>
            </w:r>
            <w:r w:rsidR="000A5419" w:rsidRPr="00A808E0">
              <w:t xml:space="preserve">, </w:t>
            </w:r>
            <w:proofErr w:type="gramStart"/>
            <w:r w:rsidR="000A5419" w:rsidRPr="00A808E0">
              <w:t>202</w:t>
            </w:r>
            <w:r w:rsidR="007107B8" w:rsidRPr="00A808E0">
              <w:t>4</w:t>
            </w:r>
            <w:proofErr w:type="gramEnd"/>
            <w:r w:rsidRPr="00A808E0">
              <w:t xml:space="preserve">    </w:t>
            </w:r>
            <w:r w:rsidR="00FA3143" w:rsidRPr="00A808E0">
              <w:t>Information Retrieval &amp; Interactive Information Retrieval</w:t>
            </w:r>
          </w:p>
          <w:p w14:paraId="6A57E7C7" w14:textId="77777777" w:rsidR="00FA3143" w:rsidRPr="00A808E0" w:rsidRDefault="00FA3143" w:rsidP="00FA3143"/>
          <w:p w14:paraId="4963B8A0" w14:textId="77777777" w:rsidR="00FA3143" w:rsidRPr="00A808E0" w:rsidRDefault="00FA3143" w:rsidP="00FA3143">
            <w:pPr>
              <w:numPr>
                <w:ilvl w:val="0"/>
                <w:numId w:val="8"/>
              </w:numPr>
              <w:shd w:val="clear" w:color="auto" w:fill="FFFFFF"/>
              <w:rPr>
                <w:szCs w:val="20"/>
              </w:rPr>
            </w:pPr>
            <w:r w:rsidRPr="00A808E0">
              <w:rPr>
                <w:szCs w:val="20"/>
              </w:rPr>
              <w:t xml:space="preserve">Brin, S. &amp; Page, L. (1998). The anatomy of a large-scale hypertextual Web search engine. </w:t>
            </w:r>
          </w:p>
          <w:p w14:paraId="11AEAB38" w14:textId="77777777" w:rsidR="00FA3143" w:rsidRPr="00A808E0" w:rsidRDefault="00FA3143" w:rsidP="00FA3143">
            <w:pPr>
              <w:numPr>
                <w:ilvl w:val="0"/>
                <w:numId w:val="8"/>
              </w:numPr>
              <w:shd w:val="clear" w:color="auto" w:fill="FFFFFF"/>
              <w:rPr>
                <w:szCs w:val="20"/>
              </w:rPr>
            </w:pPr>
            <w:r w:rsidRPr="00A808E0">
              <w:rPr>
                <w:szCs w:val="20"/>
              </w:rPr>
              <w:t xml:space="preserve">Horowitz, D., &amp; </w:t>
            </w:r>
            <w:proofErr w:type="spellStart"/>
            <w:r w:rsidRPr="00A808E0">
              <w:rPr>
                <w:szCs w:val="20"/>
              </w:rPr>
              <w:t>Kamvar</w:t>
            </w:r>
            <w:proofErr w:type="spellEnd"/>
            <w:r w:rsidRPr="00A808E0">
              <w:rPr>
                <w:szCs w:val="20"/>
              </w:rPr>
              <w:t>, S. D. (2010). The anatomy of a large-</w:t>
            </w:r>
            <w:r w:rsidRPr="00A808E0">
              <w:rPr>
                <w:szCs w:val="20"/>
              </w:rPr>
              <w:softHyphen/>
              <w:t xml:space="preserve">‐scale social search engine. Proceedings of the 19th international conference on World Wide Web, WWW ’10 (pp. 431–440). New York, NY, USA: ACM. </w:t>
            </w:r>
          </w:p>
          <w:p w14:paraId="74EB35B1" w14:textId="77777777" w:rsidR="00FA3143" w:rsidRPr="00A808E0" w:rsidRDefault="00FA3143" w:rsidP="00FA3143">
            <w:pPr>
              <w:numPr>
                <w:ilvl w:val="0"/>
                <w:numId w:val="8"/>
              </w:numPr>
              <w:shd w:val="clear" w:color="auto" w:fill="FFFFFF"/>
              <w:rPr>
                <w:szCs w:val="20"/>
              </w:rPr>
            </w:pPr>
            <w:r w:rsidRPr="00A808E0">
              <w:rPr>
                <w:szCs w:val="20"/>
              </w:rPr>
              <w:t xml:space="preserve">Voorhees, E. M. (2007). TREC: Continuing information retrieval’s tradition of experimentation. </w:t>
            </w:r>
            <w:proofErr w:type="spellStart"/>
            <w:r w:rsidRPr="00A808E0">
              <w:rPr>
                <w:szCs w:val="20"/>
              </w:rPr>
              <w:t>Commun</w:t>
            </w:r>
            <w:proofErr w:type="spellEnd"/>
            <w:r w:rsidRPr="00A808E0">
              <w:rPr>
                <w:szCs w:val="20"/>
              </w:rPr>
              <w:t>. ACM, 50(11), 51–54.</w:t>
            </w:r>
          </w:p>
          <w:p w14:paraId="7E77C9E6" w14:textId="77777777" w:rsidR="00FA3143" w:rsidRPr="00A808E0" w:rsidRDefault="00FA3143" w:rsidP="00FA3143">
            <w:pPr>
              <w:numPr>
                <w:ilvl w:val="0"/>
                <w:numId w:val="8"/>
              </w:numPr>
              <w:shd w:val="clear" w:color="auto" w:fill="FFFFFF"/>
              <w:rPr>
                <w:szCs w:val="20"/>
              </w:rPr>
            </w:pPr>
            <w:r w:rsidRPr="00A808E0">
              <w:rPr>
                <w:szCs w:val="20"/>
              </w:rPr>
              <w:t>SWIRL 2018 Report (Culpepper)</w:t>
            </w:r>
          </w:p>
          <w:p w14:paraId="54896D78" w14:textId="77777777" w:rsidR="00FA3143" w:rsidRPr="00A808E0" w:rsidRDefault="00FA3143" w:rsidP="00FA3143">
            <w:pPr>
              <w:numPr>
                <w:ilvl w:val="0"/>
                <w:numId w:val="8"/>
              </w:numPr>
              <w:shd w:val="clear" w:color="auto" w:fill="FFFFFF"/>
              <w:rPr>
                <w:szCs w:val="20"/>
              </w:rPr>
            </w:pPr>
            <w:r w:rsidRPr="00A808E0">
              <w:rPr>
                <w:szCs w:val="20"/>
              </w:rPr>
              <w:t>Ruthven (2008) Interactive Information Retrieval, ARIST, p. 43-91</w:t>
            </w:r>
          </w:p>
          <w:p w14:paraId="37398A9B" w14:textId="77777777" w:rsidR="00FA3143" w:rsidRPr="00A808E0" w:rsidRDefault="00FA3143" w:rsidP="00FA3143">
            <w:pPr>
              <w:shd w:val="clear" w:color="auto" w:fill="FFFFFF"/>
              <w:rPr>
                <w:szCs w:val="20"/>
              </w:rPr>
            </w:pPr>
          </w:p>
          <w:p w14:paraId="3587395F" w14:textId="77777777" w:rsidR="00FA3143" w:rsidRPr="00A808E0" w:rsidRDefault="00FA3143" w:rsidP="00FA3143">
            <w:pPr>
              <w:numPr>
                <w:ilvl w:val="0"/>
                <w:numId w:val="8"/>
              </w:numPr>
              <w:shd w:val="clear" w:color="auto" w:fill="FFFFFF"/>
              <w:rPr>
                <w:szCs w:val="20"/>
              </w:rPr>
            </w:pPr>
            <w:r w:rsidRPr="00A808E0">
              <w:rPr>
                <w:szCs w:val="20"/>
              </w:rPr>
              <w:t>Machi &amp; McEvoy, Chapter 4 – Step 4</w:t>
            </w:r>
          </w:p>
          <w:p w14:paraId="2F408BE9" w14:textId="77777777" w:rsidR="0047358A" w:rsidRPr="00A808E0" w:rsidRDefault="0047358A" w:rsidP="00FA3143"/>
        </w:tc>
      </w:tr>
      <w:tr w:rsidR="0047358A" w:rsidRPr="00A808E0" w14:paraId="1F5B0795" w14:textId="77777777" w:rsidTr="00430543">
        <w:tc>
          <w:tcPr>
            <w:tcW w:w="9445" w:type="dxa"/>
          </w:tcPr>
          <w:p w14:paraId="07A5C3CF" w14:textId="601435BA" w:rsidR="00FA3143" w:rsidRPr="00A808E0" w:rsidRDefault="00645E77" w:rsidP="00FA3143">
            <w:r w:rsidRPr="00A808E0">
              <w:rPr>
                <w:b/>
              </w:rPr>
              <w:t xml:space="preserve">Week </w:t>
            </w:r>
            <w:r w:rsidR="002C712E" w:rsidRPr="00A808E0">
              <w:rPr>
                <w:b/>
              </w:rPr>
              <w:t>7</w:t>
            </w:r>
            <w:r w:rsidR="002C712E" w:rsidRPr="00A808E0">
              <w:t xml:space="preserve"> </w:t>
            </w:r>
            <w:r w:rsidRPr="00A808E0">
              <w:t xml:space="preserve">– </w:t>
            </w:r>
            <w:r w:rsidR="003909D0" w:rsidRPr="00A808E0">
              <w:t>Oct</w:t>
            </w:r>
            <w:r w:rsidR="002C712E" w:rsidRPr="00A808E0">
              <w:t xml:space="preserve"> </w:t>
            </w:r>
            <w:r w:rsidR="007107B8" w:rsidRPr="00A808E0">
              <w:t>9</w:t>
            </w:r>
            <w:r w:rsidR="000A5419" w:rsidRPr="00A808E0">
              <w:t xml:space="preserve">, </w:t>
            </w:r>
            <w:proofErr w:type="gramStart"/>
            <w:r w:rsidR="000A5419" w:rsidRPr="00A808E0">
              <w:t>202</w:t>
            </w:r>
            <w:r w:rsidR="007107B8" w:rsidRPr="00A808E0">
              <w:t>4</w:t>
            </w:r>
            <w:proofErr w:type="gramEnd"/>
            <w:r w:rsidRPr="00A808E0">
              <w:t xml:space="preserve">    </w:t>
            </w:r>
            <w:r w:rsidR="00FA3143" w:rsidRPr="00A808E0">
              <w:t>Information Institutions/Scholarly Communication</w:t>
            </w:r>
          </w:p>
          <w:p w14:paraId="7D5585B5" w14:textId="77777777" w:rsidR="00FA3143" w:rsidRPr="00A808E0" w:rsidRDefault="00FA3143" w:rsidP="00FA3143"/>
          <w:p w14:paraId="54F762B8" w14:textId="77777777" w:rsidR="00FA3143" w:rsidRPr="00A808E0" w:rsidRDefault="00FA3143" w:rsidP="00FA3143">
            <w:pPr>
              <w:numPr>
                <w:ilvl w:val="0"/>
                <w:numId w:val="9"/>
              </w:numPr>
              <w:shd w:val="clear" w:color="auto" w:fill="FFFFFF"/>
              <w:rPr>
                <w:szCs w:val="20"/>
              </w:rPr>
            </w:pPr>
            <w:proofErr w:type="spellStart"/>
            <w:r w:rsidRPr="00A808E0">
              <w:rPr>
                <w:szCs w:val="20"/>
              </w:rPr>
              <w:t>Moravcsik</w:t>
            </w:r>
            <w:proofErr w:type="spellEnd"/>
            <w:r w:rsidRPr="00A808E0">
              <w:rPr>
                <w:szCs w:val="20"/>
              </w:rPr>
              <w:t xml:space="preserve">, M. J., &amp; Murugesan, P. (1975). Some Results on the Function and Quality of Citations. Social Studies of Science, 5(1), 86–92. </w:t>
            </w:r>
          </w:p>
          <w:p w14:paraId="31931153" w14:textId="77777777" w:rsidR="00FA3143" w:rsidRPr="00A808E0" w:rsidRDefault="00FA3143" w:rsidP="00FA3143">
            <w:pPr>
              <w:numPr>
                <w:ilvl w:val="0"/>
                <w:numId w:val="9"/>
              </w:numPr>
              <w:shd w:val="clear" w:color="auto" w:fill="FFFFFF"/>
              <w:rPr>
                <w:szCs w:val="20"/>
              </w:rPr>
            </w:pPr>
            <w:proofErr w:type="spellStart"/>
            <w:r w:rsidRPr="00A808E0">
              <w:rPr>
                <w:szCs w:val="20"/>
              </w:rPr>
              <w:lastRenderedPageBreak/>
              <w:t>Delfanti</w:t>
            </w:r>
            <w:proofErr w:type="spellEnd"/>
            <w:r w:rsidRPr="00A808E0">
              <w:rPr>
                <w:szCs w:val="20"/>
              </w:rPr>
              <w:t>, A. (2016). Beams of particles and papers: How digital preprint archives shape authorship and credit. Social Studies of Science, 46(4), 629–645. </w:t>
            </w:r>
            <w:hyperlink r:id="rId16" w:tooltip="Original URL:&#10;https://doi.org/10.1177/0306312716659373&#10;&#10;Click to follow link." w:history="1">
              <w:r w:rsidRPr="00A808E0">
                <w:rPr>
                  <w:szCs w:val="20"/>
                </w:rPr>
                <w:t>https://doi.org/10.1177/0306312716659373</w:t>
              </w:r>
            </w:hyperlink>
          </w:p>
          <w:p w14:paraId="720C66E1" w14:textId="77777777" w:rsidR="00FA3143" w:rsidRPr="00A808E0" w:rsidRDefault="00FA3143" w:rsidP="00FA3143">
            <w:pPr>
              <w:numPr>
                <w:ilvl w:val="0"/>
                <w:numId w:val="9"/>
              </w:numPr>
              <w:shd w:val="clear" w:color="auto" w:fill="FFFFFF"/>
              <w:rPr>
                <w:szCs w:val="20"/>
              </w:rPr>
            </w:pPr>
            <w:r w:rsidRPr="00A808E0">
              <w:rPr>
                <w:szCs w:val="20"/>
              </w:rPr>
              <w:t xml:space="preserve">Sugimoto, C. R., Work, S., </w:t>
            </w:r>
            <w:proofErr w:type="spellStart"/>
            <w:r w:rsidRPr="00A808E0">
              <w:rPr>
                <w:szCs w:val="20"/>
              </w:rPr>
              <w:t>Larivière</w:t>
            </w:r>
            <w:proofErr w:type="spellEnd"/>
            <w:r w:rsidRPr="00A808E0">
              <w:rPr>
                <w:szCs w:val="20"/>
              </w:rPr>
              <w:t xml:space="preserve">, V., &amp; </w:t>
            </w:r>
            <w:proofErr w:type="spellStart"/>
            <w:r w:rsidRPr="00A808E0">
              <w:rPr>
                <w:szCs w:val="20"/>
              </w:rPr>
              <w:t>Haustein</w:t>
            </w:r>
            <w:proofErr w:type="spellEnd"/>
            <w:r w:rsidRPr="00A808E0">
              <w:rPr>
                <w:szCs w:val="20"/>
              </w:rPr>
              <w:t xml:space="preserve">, S. (2017). Scholarly use of social media and </w:t>
            </w:r>
            <w:proofErr w:type="spellStart"/>
            <w:r w:rsidRPr="00A808E0">
              <w:rPr>
                <w:szCs w:val="20"/>
              </w:rPr>
              <w:t>altmetrics</w:t>
            </w:r>
            <w:proofErr w:type="spellEnd"/>
            <w:r w:rsidRPr="00A808E0">
              <w:rPr>
                <w:szCs w:val="20"/>
              </w:rPr>
              <w:t>: A review of the literature. Journal of the Association for Information Science and Technology, 68(9), 2037–2062. </w:t>
            </w:r>
            <w:hyperlink r:id="rId17" w:tooltip="https://nam12.safelinks.protection.outlook.com/?url=https%3A%2F%2Fdoi.org%2F10.1002%2Fasi.23833&amp;data=05%7C01%7C%7C94421e027e42498171be08da7ed3ecab%7C31d7e2a5bdd8414e9e97bea998ebdfe1%7C0%7C0%7C637961745920614904%7CUnknown%7CTWFpbGZsb3d8eyJWIjoiMC4wLjAwMDAiLCJQIjoiV2luMzIiLCJBTiI6Ik1haWwiLCJXVCI6Mn0%3D%7C3000%7C%7C%7C&amp;sdata=tfOhGqMcVOwDrO08paabcfGYxIqbbhZMMxRJhSW9RJI%3D&amp;reserved=0" w:history="1">
              <w:r w:rsidRPr="00A808E0">
                <w:rPr>
                  <w:szCs w:val="20"/>
                </w:rPr>
                <w:t>https://doi.org/10.1002/asi.23833</w:t>
              </w:r>
            </w:hyperlink>
          </w:p>
          <w:p w14:paraId="60D3BBC0" w14:textId="77777777" w:rsidR="00FA3143" w:rsidRPr="00A808E0" w:rsidRDefault="00FA3143" w:rsidP="00FA3143">
            <w:pPr>
              <w:numPr>
                <w:ilvl w:val="0"/>
                <w:numId w:val="9"/>
              </w:numPr>
              <w:shd w:val="clear" w:color="auto" w:fill="FFFFFF"/>
              <w:rPr>
                <w:szCs w:val="20"/>
              </w:rPr>
            </w:pPr>
            <w:proofErr w:type="spellStart"/>
            <w:r w:rsidRPr="00A808E0">
              <w:rPr>
                <w:szCs w:val="20"/>
              </w:rPr>
              <w:t>LeMaistre</w:t>
            </w:r>
            <w:proofErr w:type="spellEnd"/>
            <w:r w:rsidRPr="00A808E0">
              <w:rPr>
                <w:szCs w:val="20"/>
              </w:rPr>
              <w:t>, T., Embry, R. L., Zandt, L. L. V., &amp; Bailey, D. E. (2012). Role Reinvention, Structural Defense, or Resigned Surrender: Institutional Approaches to Technological Change and Reference Librarianship. The Library Quarterly, 82(3), 241–275.</w:t>
            </w:r>
          </w:p>
          <w:p w14:paraId="46C41257" w14:textId="77777777" w:rsidR="002E4223" w:rsidRDefault="002E4223" w:rsidP="00557FCD">
            <w:pPr>
              <w:shd w:val="clear" w:color="auto" w:fill="FFFFFF"/>
              <w:tabs>
                <w:tab w:val="left" w:pos="360"/>
              </w:tabs>
              <w:ind w:left="360"/>
              <w:rPr>
                <w:szCs w:val="20"/>
              </w:rPr>
            </w:pPr>
          </w:p>
          <w:p w14:paraId="03A782D7" w14:textId="2651E8FD" w:rsidR="00FA3143" w:rsidRPr="002E4223" w:rsidRDefault="00FA3143" w:rsidP="00557FCD">
            <w:pPr>
              <w:numPr>
                <w:ilvl w:val="0"/>
                <w:numId w:val="9"/>
              </w:numPr>
              <w:shd w:val="clear" w:color="auto" w:fill="FFFFFF"/>
              <w:rPr>
                <w:szCs w:val="20"/>
              </w:rPr>
            </w:pPr>
            <w:r w:rsidRPr="00A808E0">
              <w:rPr>
                <w:szCs w:val="20"/>
              </w:rPr>
              <w:t>Booth et al. Section IV, Chapter 16 (Introductions and Conclusions)</w:t>
            </w:r>
          </w:p>
          <w:p w14:paraId="4C532F9F" w14:textId="77777777" w:rsidR="00FA3143" w:rsidRPr="00A808E0" w:rsidRDefault="00FA3143" w:rsidP="00FA3143">
            <w:pPr>
              <w:numPr>
                <w:ilvl w:val="0"/>
                <w:numId w:val="9"/>
              </w:numPr>
              <w:shd w:val="clear" w:color="auto" w:fill="FFFFFF"/>
              <w:rPr>
                <w:szCs w:val="20"/>
              </w:rPr>
            </w:pPr>
            <w:r w:rsidRPr="00A808E0">
              <w:rPr>
                <w:szCs w:val="20"/>
              </w:rPr>
              <w:t>Machi &amp; McEvoy, Chapter 5 – Step 5</w:t>
            </w:r>
          </w:p>
          <w:p w14:paraId="25B156C8" w14:textId="77777777" w:rsidR="0047358A" w:rsidRPr="00A808E0" w:rsidRDefault="0047358A" w:rsidP="00FA3143"/>
        </w:tc>
      </w:tr>
      <w:tr w:rsidR="0047358A" w:rsidRPr="00A808E0" w14:paraId="15A2946B" w14:textId="77777777" w:rsidTr="00430543">
        <w:tc>
          <w:tcPr>
            <w:tcW w:w="9445" w:type="dxa"/>
          </w:tcPr>
          <w:p w14:paraId="30662249" w14:textId="54E8174F" w:rsidR="00FA3143" w:rsidRPr="00A808E0" w:rsidRDefault="00645E77" w:rsidP="00FA3143">
            <w:r w:rsidRPr="00A808E0">
              <w:rPr>
                <w:b/>
              </w:rPr>
              <w:lastRenderedPageBreak/>
              <w:t xml:space="preserve">Week </w:t>
            </w:r>
            <w:r w:rsidR="002C712E" w:rsidRPr="00A808E0">
              <w:rPr>
                <w:b/>
              </w:rPr>
              <w:t>8</w:t>
            </w:r>
            <w:r w:rsidRPr="00A808E0">
              <w:t xml:space="preserve"> – </w:t>
            </w:r>
            <w:r w:rsidR="003909D0" w:rsidRPr="00A808E0">
              <w:t xml:space="preserve">Oct </w:t>
            </w:r>
            <w:r w:rsidR="00247AEB" w:rsidRPr="00A808E0">
              <w:t>1</w:t>
            </w:r>
            <w:r w:rsidR="007107B8" w:rsidRPr="00A808E0">
              <w:t>6</w:t>
            </w:r>
            <w:r w:rsidR="000A5419" w:rsidRPr="00A808E0">
              <w:t xml:space="preserve">, </w:t>
            </w:r>
            <w:proofErr w:type="gramStart"/>
            <w:r w:rsidR="000A5419" w:rsidRPr="00A808E0">
              <w:t>202</w:t>
            </w:r>
            <w:r w:rsidR="007107B8" w:rsidRPr="00A808E0">
              <w:t>4</w:t>
            </w:r>
            <w:proofErr w:type="gramEnd"/>
            <w:r w:rsidR="000A5419" w:rsidRPr="00A808E0">
              <w:t xml:space="preserve">     </w:t>
            </w:r>
            <w:r w:rsidR="00FA3143" w:rsidRPr="00A808E0">
              <w:t xml:space="preserve">Socio-Technical Systems/Social Informatics </w:t>
            </w:r>
          </w:p>
          <w:p w14:paraId="3946248F" w14:textId="77777777" w:rsidR="00FA3143" w:rsidRPr="00A808E0" w:rsidRDefault="00FA3143" w:rsidP="00FA3143"/>
          <w:p w14:paraId="52F54875" w14:textId="77777777" w:rsidR="00FA3143" w:rsidRPr="00A808E0" w:rsidRDefault="00FA3143" w:rsidP="00FA3143">
            <w:pPr>
              <w:numPr>
                <w:ilvl w:val="0"/>
                <w:numId w:val="10"/>
              </w:numPr>
              <w:shd w:val="clear" w:color="auto" w:fill="FFFFFF"/>
              <w:rPr>
                <w:szCs w:val="20"/>
              </w:rPr>
            </w:pPr>
            <w:r w:rsidRPr="00A808E0">
              <w:rPr>
                <w:szCs w:val="20"/>
              </w:rPr>
              <w:t xml:space="preserve">Trist, Eric (1981). The historical background. In The evolution of socio-technical systems: A conceptual framework and an action research program, pp. 1-26. </w:t>
            </w:r>
          </w:p>
          <w:p w14:paraId="26E9876C" w14:textId="77777777" w:rsidR="00FA3143" w:rsidRPr="00A808E0" w:rsidRDefault="00FA3143" w:rsidP="00FA3143">
            <w:pPr>
              <w:numPr>
                <w:ilvl w:val="0"/>
                <w:numId w:val="10"/>
              </w:numPr>
              <w:shd w:val="clear" w:color="auto" w:fill="FFFFFF"/>
              <w:rPr>
                <w:szCs w:val="20"/>
              </w:rPr>
            </w:pPr>
            <w:r w:rsidRPr="00A808E0">
              <w:rPr>
                <w:szCs w:val="20"/>
              </w:rPr>
              <w:t xml:space="preserve">Sawyer and Rosenbaum (2000). Social Informatics in the Information Sciences: Current Activities and Emerging Directions. Informing Science 3 (2).  </w:t>
            </w:r>
          </w:p>
          <w:p w14:paraId="67FD08AF" w14:textId="77777777" w:rsidR="00FA3143" w:rsidRPr="00A808E0" w:rsidRDefault="00FA3143" w:rsidP="00FA3143">
            <w:pPr>
              <w:numPr>
                <w:ilvl w:val="0"/>
                <w:numId w:val="10"/>
              </w:numPr>
              <w:shd w:val="clear" w:color="auto" w:fill="FFFFFF"/>
              <w:rPr>
                <w:b/>
              </w:rPr>
            </w:pPr>
            <w:proofErr w:type="spellStart"/>
            <w:r w:rsidRPr="00A808E0">
              <w:rPr>
                <w:szCs w:val="20"/>
              </w:rPr>
              <w:t>Howison</w:t>
            </w:r>
            <w:proofErr w:type="spellEnd"/>
            <w:r w:rsidRPr="00A808E0">
              <w:rPr>
                <w:szCs w:val="20"/>
              </w:rPr>
              <w:t xml:space="preserve">, J., &amp; </w:t>
            </w:r>
            <w:proofErr w:type="spellStart"/>
            <w:r w:rsidRPr="00A808E0">
              <w:rPr>
                <w:szCs w:val="20"/>
              </w:rPr>
              <w:t>Crowston</w:t>
            </w:r>
            <w:proofErr w:type="spellEnd"/>
            <w:r w:rsidRPr="00A808E0">
              <w:rPr>
                <w:szCs w:val="20"/>
              </w:rPr>
              <w:t xml:space="preserve">, K. (2014). Collaboration through open superposition. MIS Quarterly, 38(1), 29-50.  </w:t>
            </w:r>
          </w:p>
          <w:p w14:paraId="7143023B" w14:textId="77777777" w:rsidR="00FA3143" w:rsidRPr="00A808E0" w:rsidRDefault="00FA3143" w:rsidP="00FA3143">
            <w:pPr>
              <w:numPr>
                <w:ilvl w:val="0"/>
                <w:numId w:val="10"/>
              </w:numPr>
              <w:shd w:val="clear" w:color="auto" w:fill="FFFFFF"/>
              <w:tabs>
                <w:tab w:val="left" w:pos="720"/>
              </w:tabs>
            </w:pPr>
            <w:r w:rsidRPr="00A808E0">
              <w:rPr>
                <w:color w:val="000000"/>
              </w:rPr>
              <w:t xml:space="preserve">Sawyer, S., &amp; </w:t>
            </w:r>
            <w:proofErr w:type="spellStart"/>
            <w:r w:rsidRPr="00A808E0">
              <w:rPr>
                <w:color w:val="000000"/>
              </w:rPr>
              <w:t>Jarrahi</w:t>
            </w:r>
            <w:proofErr w:type="spellEnd"/>
            <w:r w:rsidRPr="00A808E0">
              <w:rPr>
                <w:color w:val="000000"/>
              </w:rPr>
              <w:t>, M. (2014). Sociotechnical Approaches to the Study of Information Systems. In H. Topi &amp; A. Tucker (Eds.),</w:t>
            </w:r>
            <w:r w:rsidRPr="00A808E0">
              <w:rPr>
                <w:rStyle w:val="apple-converted-space"/>
                <w:color w:val="000000"/>
              </w:rPr>
              <w:t> </w:t>
            </w:r>
            <w:r w:rsidRPr="00A808E0">
              <w:rPr>
                <w:i/>
                <w:iCs/>
                <w:color w:val="000000"/>
              </w:rPr>
              <w:t>Computing Handbook, Third Edition</w:t>
            </w:r>
            <w:r w:rsidRPr="00A808E0">
              <w:rPr>
                <w:rStyle w:val="apple-converted-space"/>
                <w:color w:val="000000"/>
              </w:rPr>
              <w:t> </w:t>
            </w:r>
            <w:r w:rsidRPr="00A808E0">
              <w:rPr>
                <w:color w:val="000000"/>
              </w:rPr>
              <w:t>(Vol. 19, pp. 5–1 – 5–27). Chapman and Hall/CRC.</w:t>
            </w:r>
          </w:p>
          <w:p w14:paraId="32B9776A" w14:textId="77777777" w:rsidR="00FA3143" w:rsidRPr="00A808E0" w:rsidRDefault="00FA3143" w:rsidP="00FA3143">
            <w:pPr>
              <w:shd w:val="clear" w:color="auto" w:fill="FFFFFF"/>
              <w:tabs>
                <w:tab w:val="left" w:pos="360"/>
              </w:tabs>
              <w:ind w:left="360"/>
              <w:rPr>
                <w:szCs w:val="20"/>
              </w:rPr>
            </w:pPr>
          </w:p>
          <w:p w14:paraId="1026D93B" w14:textId="77777777" w:rsidR="00FA3143" w:rsidRPr="00A808E0" w:rsidRDefault="00FA3143" w:rsidP="00FA3143">
            <w:pPr>
              <w:numPr>
                <w:ilvl w:val="0"/>
                <w:numId w:val="10"/>
              </w:numPr>
              <w:shd w:val="clear" w:color="auto" w:fill="FFFFFF"/>
              <w:rPr>
                <w:szCs w:val="20"/>
              </w:rPr>
            </w:pPr>
            <w:r w:rsidRPr="00A808E0">
              <w:rPr>
                <w:szCs w:val="20"/>
              </w:rPr>
              <w:t>Machi &amp; McEvoy, Chapter 6 – Step 6</w:t>
            </w:r>
          </w:p>
          <w:p w14:paraId="2D4044F7" w14:textId="77777777" w:rsidR="00A92ECC" w:rsidRPr="00A808E0" w:rsidRDefault="00A92ECC" w:rsidP="00B914B2">
            <w:pPr>
              <w:rPr>
                <w:b/>
              </w:rPr>
            </w:pPr>
          </w:p>
        </w:tc>
      </w:tr>
      <w:tr w:rsidR="0047358A" w:rsidRPr="00A808E0" w14:paraId="14BE0B29" w14:textId="77777777" w:rsidTr="00430543">
        <w:tc>
          <w:tcPr>
            <w:tcW w:w="9445" w:type="dxa"/>
          </w:tcPr>
          <w:p w14:paraId="3FA86B6E" w14:textId="0E074F0A" w:rsidR="00B914B2" w:rsidRPr="00A808E0" w:rsidRDefault="00645E77" w:rsidP="00B914B2">
            <w:r w:rsidRPr="00A808E0">
              <w:rPr>
                <w:b/>
              </w:rPr>
              <w:t xml:space="preserve">Week </w:t>
            </w:r>
            <w:r w:rsidR="002C712E" w:rsidRPr="00A808E0">
              <w:rPr>
                <w:b/>
              </w:rPr>
              <w:t>9</w:t>
            </w:r>
            <w:r w:rsidRPr="00A808E0">
              <w:t xml:space="preserve"> – </w:t>
            </w:r>
            <w:r w:rsidR="003909D0" w:rsidRPr="00A808E0">
              <w:t xml:space="preserve">Oct </w:t>
            </w:r>
            <w:r w:rsidR="007107B8" w:rsidRPr="00A808E0">
              <w:t>23</w:t>
            </w:r>
            <w:r w:rsidR="000A5419" w:rsidRPr="00A808E0">
              <w:t xml:space="preserve">, </w:t>
            </w:r>
            <w:proofErr w:type="gramStart"/>
            <w:r w:rsidR="000A5419" w:rsidRPr="00A808E0">
              <w:t>202</w:t>
            </w:r>
            <w:r w:rsidR="007107B8" w:rsidRPr="00A808E0">
              <w:t>4</w:t>
            </w:r>
            <w:proofErr w:type="gramEnd"/>
            <w:r w:rsidRPr="00A808E0">
              <w:t xml:space="preserve">     </w:t>
            </w:r>
            <w:r w:rsidR="00B914B2" w:rsidRPr="00A808E0">
              <w:t xml:space="preserve">Information Systems </w:t>
            </w:r>
          </w:p>
          <w:p w14:paraId="3B2E2212" w14:textId="77777777" w:rsidR="00B914B2" w:rsidRPr="00A808E0" w:rsidRDefault="00B914B2" w:rsidP="00B914B2"/>
          <w:p w14:paraId="73DDCE79" w14:textId="77777777" w:rsidR="00B914B2" w:rsidRPr="00A808E0" w:rsidRDefault="00B914B2" w:rsidP="00B914B2">
            <w:pPr>
              <w:numPr>
                <w:ilvl w:val="0"/>
                <w:numId w:val="11"/>
              </w:numPr>
              <w:shd w:val="clear" w:color="auto" w:fill="FFFFFF"/>
              <w:rPr>
                <w:szCs w:val="20"/>
              </w:rPr>
            </w:pPr>
            <w:r w:rsidRPr="00A808E0">
              <w:rPr>
                <w:szCs w:val="20"/>
              </w:rPr>
              <w:t xml:space="preserve">Ellis, D., Allen, D., &amp; Wilson, T. (1999). Information Science and Information Systems: Conjunct </w:t>
            </w:r>
            <w:proofErr w:type="gramStart"/>
            <w:r w:rsidRPr="00A808E0">
              <w:rPr>
                <w:szCs w:val="20"/>
              </w:rPr>
              <w:t>subjects</w:t>
            </w:r>
            <w:proofErr w:type="gramEnd"/>
            <w:r w:rsidRPr="00A808E0">
              <w:rPr>
                <w:szCs w:val="20"/>
              </w:rPr>
              <w:t xml:space="preserve"> disjunct disciplines. Journal of the American Society for Information Science, 50(12), 1095–1108.</w:t>
            </w:r>
          </w:p>
          <w:p w14:paraId="1F46F22B" w14:textId="77777777" w:rsidR="00B914B2" w:rsidRPr="00A808E0" w:rsidRDefault="00B914B2" w:rsidP="00B914B2">
            <w:pPr>
              <w:numPr>
                <w:ilvl w:val="0"/>
                <w:numId w:val="11"/>
              </w:numPr>
              <w:shd w:val="clear" w:color="auto" w:fill="FFFFFF"/>
              <w:rPr>
                <w:szCs w:val="20"/>
              </w:rPr>
            </w:pPr>
            <w:proofErr w:type="spellStart"/>
            <w:r w:rsidRPr="00A808E0">
              <w:rPr>
                <w:szCs w:val="20"/>
              </w:rPr>
              <w:t>Orlikowski</w:t>
            </w:r>
            <w:proofErr w:type="spellEnd"/>
            <w:r w:rsidRPr="00A808E0">
              <w:rPr>
                <w:szCs w:val="20"/>
              </w:rPr>
              <w:t xml:space="preserve">, W. J., &amp; </w:t>
            </w:r>
            <w:proofErr w:type="spellStart"/>
            <w:r w:rsidRPr="00A808E0">
              <w:rPr>
                <w:szCs w:val="20"/>
              </w:rPr>
              <w:t>Iacono</w:t>
            </w:r>
            <w:proofErr w:type="spellEnd"/>
            <w:r w:rsidRPr="00A808E0">
              <w:rPr>
                <w:szCs w:val="20"/>
              </w:rPr>
              <w:t>, C. S. (2001). Research Commentary: Desperately Seeking the “IT” in IT Research: A call to theorizing the IT Artifact. Information Systems Research, 12(2), 145.</w:t>
            </w:r>
          </w:p>
          <w:p w14:paraId="7FC518FC" w14:textId="77777777" w:rsidR="00B914B2" w:rsidRPr="00A808E0" w:rsidRDefault="00B914B2" w:rsidP="00B914B2">
            <w:pPr>
              <w:numPr>
                <w:ilvl w:val="0"/>
                <w:numId w:val="11"/>
              </w:numPr>
              <w:shd w:val="clear" w:color="auto" w:fill="FFFFFF"/>
              <w:rPr>
                <w:szCs w:val="20"/>
              </w:rPr>
            </w:pPr>
            <w:r w:rsidRPr="00A808E0">
              <w:rPr>
                <w:szCs w:val="20"/>
              </w:rPr>
              <w:t>Davis, F. D. (1989). Perceived usefulness, perceived ease of use, and user acceptance of information technology. MIS quarterly, 319–340.</w:t>
            </w:r>
          </w:p>
          <w:p w14:paraId="475C72AF" w14:textId="77777777" w:rsidR="00B914B2" w:rsidRPr="00A808E0" w:rsidRDefault="00B914B2" w:rsidP="00B914B2">
            <w:pPr>
              <w:numPr>
                <w:ilvl w:val="0"/>
                <w:numId w:val="11"/>
              </w:numPr>
              <w:shd w:val="clear" w:color="auto" w:fill="FFFFFF"/>
              <w:rPr>
                <w:szCs w:val="20"/>
              </w:rPr>
            </w:pPr>
            <w:proofErr w:type="spellStart"/>
            <w:r w:rsidRPr="00A808E0">
              <w:rPr>
                <w:szCs w:val="20"/>
              </w:rPr>
              <w:t>Jarvenpaa</w:t>
            </w:r>
            <w:proofErr w:type="spellEnd"/>
            <w:r w:rsidRPr="00A808E0">
              <w:rPr>
                <w:szCs w:val="20"/>
              </w:rPr>
              <w:t xml:space="preserve">, S. L., &amp; </w:t>
            </w:r>
            <w:proofErr w:type="spellStart"/>
            <w:r w:rsidRPr="00A808E0">
              <w:rPr>
                <w:szCs w:val="20"/>
              </w:rPr>
              <w:t>Leidner</w:t>
            </w:r>
            <w:proofErr w:type="spellEnd"/>
            <w:r w:rsidRPr="00A808E0">
              <w:rPr>
                <w:szCs w:val="20"/>
              </w:rPr>
              <w:t>, D. E. (1999). Communication and Trust in Global Virtual Teams. Organization Science, 10(6), 791–815.</w:t>
            </w:r>
          </w:p>
          <w:p w14:paraId="2C535A5A" w14:textId="77777777" w:rsidR="0047358A" w:rsidRPr="00A808E0" w:rsidRDefault="0047358A" w:rsidP="00E03139">
            <w:pPr>
              <w:rPr>
                <w:b/>
              </w:rPr>
            </w:pPr>
          </w:p>
        </w:tc>
      </w:tr>
      <w:tr w:rsidR="0047358A" w:rsidRPr="00A808E0" w14:paraId="1D0C013F" w14:textId="77777777" w:rsidTr="00430543">
        <w:tc>
          <w:tcPr>
            <w:tcW w:w="9445" w:type="dxa"/>
          </w:tcPr>
          <w:p w14:paraId="67194C08" w14:textId="67D323A5" w:rsidR="00B914B2" w:rsidRPr="00A808E0" w:rsidRDefault="00645E77" w:rsidP="00B914B2">
            <w:r w:rsidRPr="00A808E0">
              <w:rPr>
                <w:b/>
              </w:rPr>
              <w:t xml:space="preserve">Week </w:t>
            </w:r>
            <w:r w:rsidR="002C712E" w:rsidRPr="00A808E0">
              <w:rPr>
                <w:b/>
              </w:rPr>
              <w:t>10</w:t>
            </w:r>
            <w:r w:rsidRPr="00A808E0">
              <w:t xml:space="preserve"> – </w:t>
            </w:r>
            <w:r w:rsidR="00BC3481" w:rsidRPr="00A808E0">
              <w:t>Oct</w:t>
            </w:r>
            <w:r w:rsidR="00663C1D" w:rsidRPr="00A808E0">
              <w:t xml:space="preserve"> </w:t>
            </w:r>
            <w:r w:rsidR="007107B8" w:rsidRPr="00A808E0">
              <w:t>30</w:t>
            </w:r>
            <w:r w:rsidR="000A5419" w:rsidRPr="00A808E0">
              <w:t xml:space="preserve">, </w:t>
            </w:r>
            <w:proofErr w:type="gramStart"/>
            <w:r w:rsidR="000A5419" w:rsidRPr="00A808E0">
              <w:t>202</w:t>
            </w:r>
            <w:r w:rsidR="007107B8" w:rsidRPr="00A808E0">
              <w:t>4</w:t>
            </w:r>
            <w:proofErr w:type="gramEnd"/>
            <w:r w:rsidR="000A5419" w:rsidRPr="00A808E0">
              <w:t xml:space="preserve"> </w:t>
            </w:r>
            <w:r w:rsidR="002C712E" w:rsidRPr="00A808E0">
              <w:t xml:space="preserve">   </w:t>
            </w:r>
            <w:r w:rsidR="00B914B2" w:rsidRPr="00A808E0">
              <w:t>Human Computer Interaction</w:t>
            </w:r>
          </w:p>
          <w:p w14:paraId="5086AEAA" w14:textId="77777777" w:rsidR="00B914B2" w:rsidRPr="00A808E0" w:rsidRDefault="00B914B2" w:rsidP="00B914B2"/>
          <w:p w14:paraId="59E78ED7" w14:textId="77777777" w:rsidR="00B914B2" w:rsidRPr="00A808E0" w:rsidRDefault="00B914B2" w:rsidP="00B914B2">
            <w:pPr>
              <w:numPr>
                <w:ilvl w:val="0"/>
                <w:numId w:val="12"/>
              </w:numPr>
              <w:shd w:val="clear" w:color="auto" w:fill="FFFFFF"/>
              <w:rPr>
                <w:szCs w:val="20"/>
              </w:rPr>
            </w:pPr>
            <w:r w:rsidRPr="00A808E0">
              <w:rPr>
                <w:szCs w:val="20"/>
              </w:rPr>
              <w:t xml:space="preserve">Carroll, J.M. (1997). Human-computer interaction: Psychology as a science of design. Annual Review of Psychology, 48, 61-83. </w:t>
            </w:r>
          </w:p>
          <w:p w14:paraId="235FBB34" w14:textId="77777777" w:rsidR="00B914B2" w:rsidRPr="00A808E0" w:rsidRDefault="00B914B2" w:rsidP="00B914B2">
            <w:pPr>
              <w:numPr>
                <w:ilvl w:val="0"/>
                <w:numId w:val="12"/>
              </w:numPr>
              <w:shd w:val="clear" w:color="auto" w:fill="FFFFFF"/>
              <w:rPr>
                <w:szCs w:val="20"/>
              </w:rPr>
            </w:pPr>
            <w:proofErr w:type="spellStart"/>
            <w:r w:rsidRPr="00A808E0">
              <w:rPr>
                <w:szCs w:val="20"/>
              </w:rPr>
              <w:lastRenderedPageBreak/>
              <w:t>Civan</w:t>
            </w:r>
            <w:proofErr w:type="spellEnd"/>
            <w:r w:rsidRPr="00A808E0">
              <w:rPr>
                <w:szCs w:val="20"/>
              </w:rPr>
              <w:t xml:space="preserve">-Hartzler, A., McDonald, D.W., Powell, C., Skeels, M.M., Mukai, M., &amp; Pratt, W. (2010). Bringing the field into focus: User-centered design of a patient expertise locator. In the Proceedings of CHI 2010, 1675-1684. </w:t>
            </w:r>
          </w:p>
          <w:p w14:paraId="2A9D7F5A" w14:textId="77777777" w:rsidR="00B914B2" w:rsidRPr="00A808E0" w:rsidRDefault="00B914B2" w:rsidP="00B914B2">
            <w:pPr>
              <w:numPr>
                <w:ilvl w:val="0"/>
                <w:numId w:val="12"/>
              </w:numPr>
              <w:shd w:val="clear" w:color="auto" w:fill="FFFFFF"/>
              <w:rPr>
                <w:szCs w:val="20"/>
              </w:rPr>
            </w:pPr>
            <w:r w:rsidRPr="00A808E0">
              <w:rPr>
                <w:szCs w:val="20"/>
              </w:rPr>
              <w:t xml:space="preserve">Epstein, Ping, Fogarty, and Munson (2015). A lived informatics model of personal informatics. Proceedings of the UbiComp’15 conference (pp. 731-742). </w:t>
            </w:r>
          </w:p>
          <w:p w14:paraId="772B61C7" w14:textId="77777777" w:rsidR="00B914B2" w:rsidRPr="00A808E0" w:rsidRDefault="00B914B2" w:rsidP="00B914B2">
            <w:pPr>
              <w:numPr>
                <w:ilvl w:val="0"/>
                <w:numId w:val="12"/>
              </w:numPr>
              <w:shd w:val="clear" w:color="auto" w:fill="FFFFFF"/>
              <w:rPr>
                <w:szCs w:val="20"/>
              </w:rPr>
            </w:pPr>
            <w:r w:rsidRPr="00A808E0">
              <w:t xml:space="preserve">Morris, M. R., </w:t>
            </w:r>
            <w:proofErr w:type="spellStart"/>
            <w:r w:rsidRPr="00A808E0">
              <w:t>Fourney</w:t>
            </w:r>
            <w:proofErr w:type="spellEnd"/>
            <w:r w:rsidRPr="00A808E0">
              <w:t xml:space="preserve">, A., Ali, A., &amp; </w:t>
            </w:r>
            <w:proofErr w:type="spellStart"/>
            <w:r w:rsidRPr="00A808E0">
              <w:t>Vonessen</w:t>
            </w:r>
            <w:proofErr w:type="spellEnd"/>
            <w:r w:rsidRPr="00A808E0">
              <w:t xml:space="preserve">, L. (2018). Understanding the Needs of Searchers with Dyslexia. </w:t>
            </w:r>
            <w:r w:rsidRPr="00A808E0">
              <w:rPr>
                <w:i/>
                <w:iCs/>
              </w:rPr>
              <w:t>Proceedings of the 2018 CHI Conference on Human Factors in Computing Systems</w:t>
            </w:r>
            <w:r w:rsidRPr="00A808E0">
              <w:t xml:space="preserve">, 1–12. </w:t>
            </w:r>
            <w:hyperlink r:id="rId18" w:history="1">
              <w:r w:rsidRPr="00A808E0">
                <w:rPr>
                  <w:rStyle w:val="Hyperlink"/>
                </w:rPr>
                <w:t>https://doi.org/10.1145/3173574.3173609</w:t>
              </w:r>
            </w:hyperlink>
          </w:p>
          <w:p w14:paraId="56531770" w14:textId="77777777" w:rsidR="00B914B2" w:rsidRPr="00A808E0" w:rsidRDefault="00B914B2" w:rsidP="00B914B2">
            <w:pPr>
              <w:shd w:val="clear" w:color="auto" w:fill="FFFFFF"/>
              <w:rPr>
                <w:szCs w:val="20"/>
              </w:rPr>
            </w:pPr>
          </w:p>
          <w:p w14:paraId="4CB6FF2D" w14:textId="77777777" w:rsidR="00B914B2" w:rsidRPr="00A808E0" w:rsidRDefault="00B914B2" w:rsidP="00B914B2">
            <w:pPr>
              <w:rPr>
                <w:szCs w:val="20"/>
              </w:rPr>
            </w:pPr>
            <w:r w:rsidRPr="00A808E0">
              <w:rPr>
                <w:szCs w:val="20"/>
              </w:rPr>
              <w:t>Booth et al. Section IV, Chapter 12-14 (Planning, Drafting, and Revising)</w:t>
            </w:r>
          </w:p>
          <w:p w14:paraId="50A9CC36" w14:textId="1FA07E16" w:rsidR="0047358A" w:rsidRPr="00A808E0" w:rsidRDefault="0047358A" w:rsidP="00B914B2">
            <w:pPr>
              <w:rPr>
                <w:b/>
              </w:rPr>
            </w:pPr>
          </w:p>
        </w:tc>
      </w:tr>
      <w:tr w:rsidR="0047358A" w:rsidRPr="00A808E0" w14:paraId="5F616924" w14:textId="77777777" w:rsidTr="00430543">
        <w:tc>
          <w:tcPr>
            <w:tcW w:w="9445" w:type="dxa"/>
          </w:tcPr>
          <w:p w14:paraId="2ACCBDDE" w14:textId="28AA541E" w:rsidR="00B914B2" w:rsidRPr="00A808E0" w:rsidRDefault="00645E77" w:rsidP="00B914B2">
            <w:r w:rsidRPr="00A808E0">
              <w:rPr>
                <w:b/>
              </w:rPr>
              <w:lastRenderedPageBreak/>
              <w:t>Week 1</w:t>
            </w:r>
            <w:r w:rsidR="00FE625F" w:rsidRPr="00A808E0">
              <w:rPr>
                <w:b/>
              </w:rPr>
              <w:t>1</w:t>
            </w:r>
            <w:r w:rsidRPr="00A808E0">
              <w:t xml:space="preserve"> – </w:t>
            </w:r>
            <w:r w:rsidR="00663C1D" w:rsidRPr="00A808E0">
              <w:t xml:space="preserve">Nov </w:t>
            </w:r>
            <w:r w:rsidR="007107B8" w:rsidRPr="00A808E0">
              <w:t>6</w:t>
            </w:r>
            <w:r w:rsidR="000A5419" w:rsidRPr="00A808E0">
              <w:t xml:space="preserve">, </w:t>
            </w:r>
            <w:proofErr w:type="gramStart"/>
            <w:r w:rsidR="000A5419" w:rsidRPr="00A808E0">
              <w:t>202</w:t>
            </w:r>
            <w:r w:rsidR="007107B8" w:rsidRPr="00A808E0">
              <w:t>4</w:t>
            </w:r>
            <w:proofErr w:type="gramEnd"/>
            <w:r w:rsidR="000A5419" w:rsidRPr="00A808E0">
              <w:t xml:space="preserve"> </w:t>
            </w:r>
            <w:r w:rsidRPr="00A808E0">
              <w:t xml:space="preserve">   </w:t>
            </w:r>
            <w:r w:rsidR="00B914B2" w:rsidRPr="00A808E0">
              <w:t>CSCW-Computer Supported Cooperative Work</w:t>
            </w:r>
          </w:p>
          <w:p w14:paraId="0B9CC0E6" w14:textId="77777777" w:rsidR="00B914B2" w:rsidRPr="00A808E0" w:rsidRDefault="00B914B2" w:rsidP="00B914B2">
            <w:pPr>
              <w:rPr>
                <w:b/>
                <w:bCs/>
              </w:rPr>
            </w:pPr>
          </w:p>
          <w:p w14:paraId="17A0E377" w14:textId="6FA0F3BD" w:rsidR="00B914B2" w:rsidRPr="00A808E0" w:rsidRDefault="00B914B2" w:rsidP="00B914B2">
            <w:pPr>
              <w:rPr>
                <w:b/>
                <w:bCs/>
              </w:rPr>
            </w:pPr>
            <w:r w:rsidRPr="00A75195">
              <w:rPr>
                <w:b/>
                <w:bCs/>
              </w:rPr>
              <w:t xml:space="preserve">Guest: </w:t>
            </w:r>
            <w:r w:rsidR="00081C5E" w:rsidRPr="00A75195">
              <w:rPr>
                <w:b/>
                <w:bCs/>
              </w:rPr>
              <w:t xml:space="preserve">Nathan </w:t>
            </w:r>
            <w:proofErr w:type="spellStart"/>
            <w:r w:rsidR="00081C5E" w:rsidRPr="00A75195">
              <w:rPr>
                <w:b/>
                <w:bCs/>
              </w:rPr>
              <w:t>TeBlunthuis</w:t>
            </w:r>
            <w:proofErr w:type="spellEnd"/>
          </w:p>
          <w:p w14:paraId="124310A5" w14:textId="77777777" w:rsidR="00B914B2" w:rsidRPr="00A808E0" w:rsidRDefault="00B914B2" w:rsidP="00B914B2">
            <w:pPr>
              <w:rPr>
                <w:b/>
                <w:bCs/>
              </w:rPr>
            </w:pPr>
          </w:p>
          <w:p w14:paraId="31E23733" w14:textId="77777777" w:rsidR="00B914B2" w:rsidRPr="00A808E0" w:rsidRDefault="00B914B2" w:rsidP="00B914B2">
            <w:pPr>
              <w:numPr>
                <w:ilvl w:val="0"/>
                <w:numId w:val="13"/>
              </w:numPr>
              <w:shd w:val="clear" w:color="auto" w:fill="FFFFFF"/>
              <w:rPr>
                <w:szCs w:val="20"/>
              </w:rPr>
            </w:pPr>
            <w:proofErr w:type="spellStart"/>
            <w:r w:rsidRPr="00A808E0">
              <w:rPr>
                <w:szCs w:val="20"/>
              </w:rPr>
              <w:t>Grudin</w:t>
            </w:r>
            <w:proofErr w:type="spellEnd"/>
            <w:r w:rsidRPr="00A808E0">
              <w:rPr>
                <w:szCs w:val="20"/>
              </w:rPr>
              <w:t xml:space="preserve">, J. (1988). Why CSCW applications fail. Proceedings of CSCW 1988.  </w:t>
            </w:r>
          </w:p>
          <w:p w14:paraId="4E6C6E47" w14:textId="77777777" w:rsidR="00B914B2" w:rsidRPr="00A808E0" w:rsidRDefault="00B914B2" w:rsidP="00B914B2">
            <w:pPr>
              <w:numPr>
                <w:ilvl w:val="0"/>
                <w:numId w:val="13"/>
              </w:numPr>
              <w:shd w:val="clear" w:color="auto" w:fill="FFFFFF"/>
              <w:rPr>
                <w:szCs w:val="20"/>
              </w:rPr>
            </w:pPr>
            <w:r w:rsidRPr="00A808E0">
              <w:rPr>
                <w:szCs w:val="20"/>
              </w:rPr>
              <w:t>Ackerman, Mark S. "The intellectual challenge of CSCW: The gap between social requirements and technical feasibility."</w:t>
            </w:r>
            <w:r w:rsidRPr="00A808E0">
              <w:t> </w:t>
            </w:r>
            <w:r w:rsidRPr="00A808E0">
              <w:rPr>
                <w:szCs w:val="20"/>
              </w:rPr>
              <w:t>Human–Computer Interaction</w:t>
            </w:r>
            <w:r w:rsidRPr="00A808E0">
              <w:t> </w:t>
            </w:r>
            <w:r w:rsidRPr="00A808E0">
              <w:rPr>
                <w:szCs w:val="20"/>
              </w:rPr>
              <w:t>15.2-3 (2000): 179-203.</w:t>
            </w:r>
          </w:p>
          <w:p w14:paraId="30CF6FF6" w14:textId="77777777" w:rsidR="00B914B2" w:rsidRPr="00A808E0" w:rsidRDefault="00B914B2" w:rsidP="00B914B2">
            <w:pPr>
              <w:numPr>
                <w:ilvl w:val="0"/>
                <w:numId w:val="13"/>
              </w:numPr>
              <w:shd w:val="clear" w:color="auto" w:fill="FFFFFF"/>
              <w:rPr>
                <w:szCs w:val="20"/>
              </w:rPr>
            </w:pPr>
            <w:proofErr w:type="spellStart"/>
            <w:r w:rsidRPr="00A808E0">
              <w:rPr>
                <w:szCs w:val="20"/>
              </w:rPr>
              <w:t>Hollan</w:t>
            </w:r>
            <w:proofErr w:type="spellEnd"/>
            <w:r w:rsidRPr="00A808E0">
              <w:rPr>
                <w:szCs w:val="20"/>
              </w:rPr>
              <w:t xml:space="preserve">, J., &amp; </w:t>
            </w:r>
            <w:proofErr w:type="spellStart"/>
            <w:r w:rsidRPr="00A808E0">
              <w:rPr>
                <w:szCs w:val="20"/>
              </w:rPr>
              <w:t>Stornetta</w:t>
            </w:r>
            <w:proofErr w:type="spellEnd"/>
            <w:r w:rsidRPr="00A808E0">
              <w:rPr>
                <w:szCs w:val="20"/>
              </w:rPr>
              <w:t xml:space="preserve">, S. (1992). Beyond being there. Proceedings of ACM SIGCHI.  </w:t>
            </w:r>
          </w:p>
          <w:p w14:paraId="210705DD" w14:textId="77777777" w:rsidR="00B914B2" w:rsidRPr="00A808E0" w:rsidRDefault="00B914B2" w:rsidP="00B914B2">
            <w:pPr>
              <w:numPr>
                <w:ilvl w:val="0"/>
                <w:numId w:val="13"/>
              </w:numPr>
              <w:shd w:val="clear" w:color="auto" w:fill="FFFFFF"/>
              <w:rPr>
                <w:b/>
              </w:rPr>
            </w:pPr>
            <w:proofErr w:type="spellStart"/>
            <w:r w:rsidRPr="00A808E0">
              <w:rPr>
                <w:szCs w:val="20"/>
              </w:rPr>
              <w:t>Cataldo</w:t>
            </w:r>
            <w:proofErr w:type="spellEnd"/>
            <w:r w:rsidRPr="00A808E0">
              <w:rPr>
                <w:szCs w:val="20"/>
              </w:rPr>
              <w:t xml:space="preserve">, M., &amp; </w:t>
            </w:r>
            <w:proofErr w:type="spellStart"/>
            <w:r w:rsidRPr="00A808E0">
              <w:rPr>
                <w:szCs w:val="20"/>
              </w:rPr>
              <w:t>Herbsleb</w:t>
            </w:r>
            <w:proofErr w:type="spellEnd"/>
            <w:r w:rsidRPr="00A808E0">
              <w:rPr>
                <w:szCs w:val="20"/>
              </w:rPr>
              <w:t>, J. D. (2008). Communication networks in geographically distributed software development. In CSCW ’08: Proceedings of the ACM 2008 conference on Computer supported cooperative work (p. 579–588).</w:t>
            </w:r>
            <w:r w:rsidRPr="00A808E0">
              <w:t> </w:t>
            </w:r>
          </w:p>
          <w:p w14:paraId="2578AC6E" w14:textId="77777777" w:rsidR="00B914B2" w:rsidRPr="00A808E0" w:rsidRDefault="00B914B2" w:rsidP="00B914B2">
            <w:pPr>
              <w:shd w:val="clear" w:color="auto" w:fill="FFFFFF"/>
              <w:tabs>
                <w:tab w:val="left" w:pos="360"/>
              </w:tabs>
              <w:ind w:left="360"/>
              <w:rPr>
                <w:b/>
              </w:rPr>
            </w:pPr>
          </w:p>
          <w:p w14:paraId="217BB3D5" w14:textId="77777777" w:rsidR="00B914B2" w:rsidRPr="00A808E0" w:rsidRDefault="00B914B2" w:rsidP="00B914B2">
            <w:pPr>
              <w:numPr>
                <w:ilvl w:val="0"/>
                <w:numId w:val="13"/>
              </w:numPr>
              <w:shd w:val="clear" w:color="auto" w:fill="FFFFFF"/>
              <w:rPr>
                <w:b/>
              </w:rPr>
            </w:pPr>
            <w:r w:rsidRPr="00A808E0">
              <w:rPr>
                <w:szCs w:val="20"/>
              </w:rPr>
              <w:t>Booth et al. Section IV, Chapter 15 (Communicating Evidence Visually), Chapter 17 (Revising Style).</w:t>
            </w:r>
          </w:p>
          <w:p w14:paraId="78408CAB" w14:textId="2BC34D6D" w:rsidR="00B04DB7" w:rsidRPr="00A808E0" w:rsidRDefault="00B04DB7" w:rsidP="00B04DB7">
            <w:pPr>
              <w:rPr>
                <w:b/>
              </w:rPr>
            </w:pPr>
          </w:p>
        </w:tc>
      </w:tr>
      <w:tr w:rsidR="0047358A" w:rsidRPr="00A808E0" w14:paraId="5F4A9D0B" w14:textId="77777777" w:rsidTr="00C34BB7">
        <w:trPr>
          <w:trHeight w:val="1970"/>
        </w:trPr>
        <w:tc>
          <w:tcPr>
            <w:tcW w:w="9445" w:type="dxa"/>
          </w:tcPr>
          <w:p w14:paraId="370B6F02" w14:textId="53AD4855" w:rsidR="007B5710" w:rsidRPr="00A808E0" w:rsidRDefault="00645E77" w:rsidP="007B5710">
            <w:r w:rsidRPr="00A808E0">
              <w:rPr>
                <w:b/>
              </w:rPr>
              <w:t>Week 12</w:t>
            </w:r>
            <w:r w:rsidRPr="00A808E0">
              <w:t xml:space="preserve"> – </w:t>
            </w:r>
            <w:r w:rsidR="00663C1D" w:rsidRPr="00A808E0">
              <w:t xml:space="preserve">Nov </w:t>
            </w:r>
            <w:r w:rsidR="007107B8" w:rsidRPr="00A808E0">
              <w:t>13</w:t>
            </w:r>
            <w:r w:rsidR="000A5419" w:rsidRPr="00A808E0">
              <w:t xml:space="preserve">, </w:t>
            </w:r>
            <w:proofErr w:type="gramStart"/>
            <w:r w:rsidR="000A5419" w:rsidRPr="00A808E0">
              <w:t>202</w:t>
            </w:r>
            <w:r w:rsidR="007107B8" w:rsidRPr="00A808E0">
              <w:t>4</w:t>
            </w:r>
            <w:proofErr w:type="gramEnd"/>
            <w:r w:rsidRPr="00A808E0">
              <w:t xml:space="preserve">   </w:t>
            </w:r>
            <w:r w:rsidR="00B42533" w:rsidRPr="00A808E0">
              <w:t xml:space="preserve"> </w:t>
            </w:r>
            <w:r w:rsidR="007B5710" w:rsidRPr="00A808E0">
              <w:t xml:space="preserve">Digital Humanities </w:t>
            </w:r>
          </w:p>
          <w:p w14:paraId="4CAE6CE7" w14:textId="4C6E85F9" w:rsidR="007B5710" w:rsidRPr="00A808E0" w:rsidRDefault="007B5710" w:rsidP="007B5710"/>
          <w:p w14:paraId="5A94B734" w14:textId="77777777" w:rsidR="007B5710" w:rsidRPr="00A808E0" w:rsidRDefault="007B5710" w:rsidP="007B5710">
            <w:pPr>
              <w:numPr>
                <w:ilvl w:val="0"/>
                <w:numId w:val="14"/>
              </w:numPr>
              <w:shd w:val="clear" w:color="auto" w:fill="FFFFFF"/>
              <w:rPr>
                <w:szCs w:val="20"/>
              </w:rPr>
            </w:pPr>
            <w:r w:rsidRPr="00A808E0">
              <w:rPr>
                <w:szCs w:val="20"/>
              </w:rPr>
              <w:t xml:space="preserve">Svensson, Patrik (2010) “The Landscape of Digital Humanities” DH Quarterly. 4.1 [open access: search the title of the article in Google and the </w:t>
            </w:r>
            <w:proofErr w:type="spellStart"/>
            <w:r w:rsidRPr="00A808E0">
              <w:rPr>
                <w:szCs w:val="20"/>
              </w:rPr>
              <w:t>fulltext</w:t>
            </w:r>
            <w:proofErr w:type="spellEnd"/>
            <w:r w:rsidRPr="00A808E0">
              <w:rPr>
                <w:szCs w:val="20"/>
              </w:rPr>
              <w:t xml:space="preserve"> is available online]</w:t>
            </w:r>
          </w:p>
          <w:p w14:paraId="16452534" w14:textId="77777777" w:rsidR="007B5710" w:rsidRPr="00A808E0" w:rsidRDefault="007B5710" w:rsidP="007B5710">
            <w:pPr>
              <w:numPr>
                <w:ilvl w:val="0"/>
                <w:numId w:val="14"/>
              </w:numPr>
              <w:shd w:val="clear" w:color="auto" w:fill="FFFFFF"/>
              <w:rPr>
                <w:szCs w:val="20"/>
              </w:rPr>
            </w:pPr>
            <w:r w:rsidRPr="00A808E0">
              <w:rPr>
                <w:szCs w:val="20"/>
              </w:rPr>
              <w:t>Svensson, Patrik (2012) “Envisioning the Digital Humanities” DH Quarterly. 6.1 [open access]</w:t>
            </w:r>
          </w:p>
          <w:p w14:paraId="75B0F129" w14:textId="281DA538" w:rsidR="007B5710" w:rsidRPr="00A808E0" w:rsidRDefault="007B5710" w:rsidP="007B5710">
            <w:pPr>
              <w:numPr>
                <w:ilvl w:val="0"/>
                <w:numId w:val="14"/>
              </w:numPr>
              <w:shd w:val="clear" w:color="auto" w:fill="FFFFFF"/>
              <w:rPr>
                <w:szCs w:val="20"/>
              </w:rPr>
            </w:pPr>
            <w:r w:rsidRPr="00A808E0">
              <w:rPr>
                <w:szCs w:val="20"/>
              </w:rPr>
              <w:t>C</w:t>
            </w:r>
            <w:r w:rsidR="00D953A8" w:rsidRPr="00A808E0">
              <w:rPr>
                <w:szCs w:val="20"/>
              </w:rPr>
              <w:t>h</w:t>
            </w:r>
            <w:r w:rsidRPr="00A808E0">
              <w:rPr>
                <w:szCs w:val="20"/>
              </w:rPr>
              <w:t>e</w:t>
            </w:r>
            <w:r w:rsidR="00D953A8" w:rsidRPr="00A808E0">
              <w:rPr>
                <w:szCs w:val="20"/>
              </w:rPr>
              <w:t xml:space="preserve">n, A. T., &amp; Cole, C. L. </w:t>
            </w:r>
            <w:r w:rsidRPr="00A808E0">
              <w:rPr>
                <w:szCs w:val="20"/>
              </w:rPr>
              <w:t>(20</w:t>
            </w:r>
            <w:r w:rsidR="00D953A8" w:rsidRPr="00A808E0">
              <w:rPr>
                <w:szCs w:val="20"/>
              </w:rPr>
              <w:t>21</w:t>
            </w:r>
            <w:r w:rsidRPr="00A808E0">
              <w:rPr>
                <w:szCs w:val="20"/>
              </w:rPr>
              <w:t xml:space="preserve">). </w:t>
            </w:r>
            <w:r w:rsidR="00D953A8" w:rsidRPr="00A808E0">
              <w:rPr>
                <w:szCs w:val="20"/>
              </w:rPr>
              <w:t>Reflexivity in issues of scale and representation in a digital humanities project. VIS4DH</w:t>
            </w:r>
            <w:r w:rsidRPr="00A808E0">
              <w:rPr>
                <w:szCs w:val="20"/>
              </w:rPr>
              <w:t>.</w:t>
            </w:r>
            <w:r w:rsidR="00D953A8" w:rsidRPr="00A808E0">
              <w:rPr>
                <w:szCs w:val="20"/>
              </w:rPr>
              <w:t xml:space="preserve"> </w:t>
            </w:r>
            <w:r w:rsidR="00226B35" w:rsidRPr="00A808E0">
              <w:rPr>
                <w:szCs w:val="20"/>
              </w:rPr>
              <w:t>(</w:t>
            </w:r>
            <w:r w:rsidR="00D953A8" w:rsidRPr="00A808E0">
              <w:rPr>
                <w:szCs w:val="20"/>
              </w:rPr>
              <w:t>7 pages</w:t>
            </w:r>
            <w:r w:rsidR="00226B35" w:rsidRPr="00A808E0">
              <w:rPr>
                <w:szCs w:val="20"/>
              </w:rPr>
              <w:t>)</w:t>
            </w:r>
            <w:r w:rsidR="00D953A8" w:rsidRPr="00A808E0">
              <w:rPr>
                <w:szCs w:val="20"/>
              </w:rPr>
              <w:t xml:space="preserve">. </w:t>
            </w:r>
          </w:p>
          <w:p w14:paraId="2020B7B8" w14:textId="77777777" w:rsidR="007B5710" w:rsidRPr="00A808E0" w:rsidRDefault="007B5710" w:rsidP="007B5710">
            <w:pPr>
              <w:numPr>
                <w:ilvl w:val="0"/>
                <w:numId w:val="14"/>
              </w:numPr>
              <w:shd w:val="clear" w:color="auto" w:fill="FFFFFF"/>
              <w:rPr>
                <w:szCs w:val="20"/>
              </w:rPr>
            </w:pPr>
            <w:proofErr w:type="spellStart"/>
            <w:r w:rsidRPr="00A808E0">
              <w:rPr>
                <w:szCs w:val="20"/>
              </w:rPr>
              <w:t>Ciccoricco</w:t>
            </w:r>
            <w:proofErr w:type="spellEnd"/>
            <w:r w:rsidRPr="00A808E0">
              <w:rPr>
                <w:szCs w:val="20"/>
              </w:rPr>
              <w:t xml:space="preserve"> (2012) The Materialities of Close Reading: 1942, 1959, 2009. DH Quarterly 6.1 [open access]</w:t>
            </w:r>
          </w:p>
          <w:p w14:paraId="2234D135" w14:textId="77777777" w:rsidR="009E3ACC" w:rsidRPr="00A808E0" w:rsidRDefault="009E3ACC" w:rsidP="0025528D"/>
        </w:tc>
      </w:tr>
      <w:tr w:rsidR="0047358A" w:rsidRPr="00A808E0" w14:paraId="147FE8D6" w14:textId="77777777" w:rsidTr="00430543">
        <w:tc>
          <w:tcPr>
            <w:tcW w:w="9445" w:type="dxa"/>
          </w:tcPr>
          <w:p w14:paraId="4C779114" w14:textId="18A58DC0" w:rsidR="000C1C34" w:rsidRPr="00A808E0" w:rsidRDefault="00645E77" w:rsidP="000C1C34">
            <w:r w:rsidRPr="00A808E0">
              <w:rPr>
                <w:b/>
              </w:rPr>
              <w:t>Week 13</w:t>
            </w:r>
            <w:r w:rsidRPr="00A808E0">
              <w:t xml:space="preserve"> </w:t>
            </w:r>
            <w:proofErr w:type="gramStart"/>
            <w:r w:rsidRPr="00A808E0">
              <w:t xml:space="preserve">–  </w:t>
            </w:r>
            <w:r w:rsidR="00663C1D" w:rsidRPr="00A808E0">
              <w:t>Nov</w:t>
            </w:r>
            <w:proofErr w:type="gramEnd"/>
            <w:r w:rsidR="00663C1D" w:rsidRPr="00A808E0">
              <w:t xml:space="preserve"> </w:t>
            </w:r>
            <w:r w:rsidR="007107B8" w:rsidRPr="00A808E0">
              <w:t>20</w:t>
            </w:r>
            <w:r w:rsidR="000A5419" w:rsidRPr="00A808E0">
              <w:t>, 202</w:t>
            </w:r>
            <w:r w:rsidR="007107B8" w:rsidRPr="00A808E0">
              <w:t>4</w:t>
            </w:r>
            <w:r w:rsidRPr="00A808E0">
              <w:t xml:space="preserve">    </w:t>
            </w:r>
            <w:r w:rsidR="000C1C34" w:rsidRPr="00A808E0">
              <w:t xml:space="preserve">Archive </w:t>
            </w:r>
          </w:p>
          <w:p w14:paraId="310A7112" w14:textId="77777777" w:rsidR="008A4216" w:rsidRPr="00A808E0" w:rsidRDefault="008A4216" w:rsidP="000C1C34"/>
          <w:p w14:paraId="14D5AA00" w14:textId="77777777" w:rsidR="000C1C34" w:rsidRPr="00A808E0" w:rsidRDefault="000C1C34" w:rsidP="000C1C34">
            <w:pPr>
              <w:numPr>
                <w:ilvl w:val="0"/>
                <w:numId w:val="15"/>
              </w:numPr>
              <w:shd w:val="clear" w:color="auto" w:fill="FFFFFF"/>
              <w:rPr>
                <w:szCs w:val="20"/>
              </w:rPr>
            </w:pPr>
            <w:r w:rsidRPr="00A808E0">
              <w:rPr>
                <w:szCs w:val="20"/>
              </w:rPr>
              <w:t>Cook, T. (2013). Evidence, memory, identity, and community: four shifting archival paradigms. Archival Science, 13(2-3), 95–120. doi:10.1007/s10502-012-9180-7</w:t>
            </w:r>
          </w:p>
          <w:p w14:paraId="63E78AE7" w14:textId="77777777" w:rsidR="000C1C34" w:rsidRPr="00A808E0" w:rsidRDefault="000C1C34" w:rsidP="000C1C34">
            <w:pPr>
              <w:numPr>
                <w:ilvl w:val="0"/>
                <w:numId w:val="15"/>
              </w:numPr>
              <w:shd w:val="clear" w:color="auto" w:fill="FFFFFF"/>
              <w:rPr>
                <w:szCs w:val="20"/>
              </w:rPr>
            </w:pPr>
            <w:proofErr w:type="spellStart"/>
            <w:r w:rsidRPr="00A808E0">
              <w:rPr>
                <w:szCs w:val="20"/>
              </w:rPr>
              <w:t>McKemmish</w:t>
            </w:r>
            <w:proofErr w:type="spellEnd"/>
            <w:r w:rsidRPr="00A808E0">
              <w:rPr>
                <w:szCs w:val="20"/>
              </w:rPr>
              <w:t xml:space="preserve">, S. (2001). Placing records continuum theory and practice. Archival Science, 1(4), 333–359. </w:t>
            </w:r>
          </w:p>
          <w:p w14:paraId="44C8B601" w14:textId="77777777" w:rsidR="000C1C34" w:rsidRPr="00A808E0" w:rsidRDefault="000C1C34" w:rsidP="000C1C34">
            <w:pPr>
              <w:numPr>
                <w:ilvl w:val="0"/>
                <w:numId w:val="15"/>
              </w:numPr>
              <w:shd w:val="clear" w:color="auto" w:fill="FFFFFF"/>
              <w:rPr>
                <w:szCs w:val="20"/>
              </w:rPr>
            </w:pPr>
            <w:r w:rsidRPr="00A808E0">
              <w:rPr>
                <w:szCs w:val="20"/>
              </w:rPr>
              <w:lastRenderedPageBreak/>
              <w:t>Thibodeau, K. (2016). Breaking Down the Invisible Wall to Enrich Archival Science and Practice. Paper presented at the IEEE Big Data 2016: 1st CAS workshop. December 8, 2016. [paper and slides]</w:t>
            </w:r>
          </w:p>
          <w:p w14:paraId="62FB2864" w14:textId="77777777" w:rsidR="000C1C34" w:rsidRPr="00A808E0" w:rsidRDefault="000C1C34" w:rsidP="000C1C34">
            <w:pPr>
              <w:numPr>
                <w:ilvl w:val="0"/>
                <w:numId w:val="15"/>
              </w:numPr>
              <w:shd w:val="clear" w:color="auto" w:fill="FFFFFF"/>
              <w:rPr>
                <w:szCs w:val="20"/>
              </w:rPr>
            </w:pPr>
            <w:r w:rsidRPr="00A808E0">
              <w:rPr>
                <w:szCs w:val="20"/>
              </w:rPr>
              <w:t xml:space="preserve">Patricia Galloway (2010) Digital Archiving. In Marcia Bates and Mary Niles </w:t>
            </w:r>
            <w:proofErr w:type="spellStart"/>
            <w:r w:rsidRPr="00A808E0">
              <w:rPr>
                <w:szCs w:val="20"/>
              </w:rPr>
              <w:t>Maack</w:t>
            </w:r>
            <w:proofErr w:type="spellEnd"/>
            <w:r w:rsidRPr="00A808E0">
              <w:rPr>
                <w:szCs w:val="20"/>
              </w:rPr>
              <w:t xml:space="preserve"> (eds.), Encyclopedia of Library and Information Science, 1518-1527.</w:t>
            </w:r>
          </w:p>
          <w:p w14:paraId="584970F9" w14:textId="77777777" w:rsidR="0047358A" w:rsidRPr="00A808E0" w:rsidRDefault="0047358A" w:rsidP="00651F27">
            <w:pPr>
              <w:rPr>
                <w:b/>
              </w:rPr>
            </w:pPr>
          </w:p>
        </w:tc>
      </w:tr>
      <w:tr w:rsidR="0047358A" w:rsidRPr="00A808E0" w14:paraId="1BB0A66C" w14:textId="77777777" w:rsidTr="00430543">
        <w:tc>
          <w:tcPr>
            <w:tcW w:w="9445" w:type="dxa"/>
          </w:tcPr>
          <w:p w14:paraId="0A140E32" w14:textId="7ACEC431" w:rsidR="002A31CB" w:rsidRPr="00A808E0" w:rsidRDefault="00645E77" w:rsidP="0025528D">
            <w:pPr>
              <w:rPr>
                <w:szCs w:val="20"/>
              </w:rPr>
            </w:pPr>
            <w:r w:rsidRPr="00A808E0">
              <w:rPr>
                <w:b/>
              </w:rPr>
              <w:lastRenderedPageBreak/>
              <w:t>Week 14</w:t>
            </w:r>
            <w:r w:rsidRPr="00A808E0">
              <w:t xml:space="preserve"> – </w:t>
            </w:r>
            <w:r w:rsidR="00C76041" w:rsidRPr="00A808E0">
              <w:t>Nov</w:t>
            </w:r>
            <w:r w:rsidR="001D7C4C" w:rsidRPr="00A808E0">
              <w:t xml:space="preserve"> </w:t>
            </w:r>
            <w:r w:rsidR="00BC3481" w:rsidRPr="00A808E0">
              <w:t>2</w:t>
            </w:r>
            <w:r w:rsidR="007107B8" w:rsidRPr="00A808E0">
              <w:t>7</w:t>
            </w:r>
            <w:r w:rsidR="000A5419" w:rsidRPr="00A808E0">
              <w:t>, 202</w:t>
            </w:r>
            <w:r w:rsidR="007107B8" w:rsidRPr="00A808E0">
              <w:t>4</w:t>
            </w:r>
            <w:r w:rsidR="000A5419" w:rsidRPr="00A808E0">
              <w:t xml:space="preserve"> </w:t>
            </w:r>
            <w:r w:rsidRPr="00A808E0">
              <w:t xml:space="preserve">     </w:t>
            </w:r>
            <w:r w:rsidR="00C93886" w:rsidRPr="00A808E0">
              <w:t>** Thanksgiving, no class **</w:t>
            </w:r>
            <w:r w:rsidR="000C1C34" w:rsidRPr="00A808E0">
              <w:t xml:space="preserve"> </w:t>
            </w:r>
          </w:p>
          <w:p w14:paraId="3E714D56" w14:textId="3E79B813" w:rsidR="00070B7A" w:rsidRPr="00A808E0" w:rsidRDefault="00070B7A" w:rsidP="009F61D6">
            <w:pPr>
              <w:rPr>
                <w:b/>
              </w:rPr>
            </w:pPr>
          </w:p>
        </w:tc>
      </w:tr>
      <w:tr w:rsidR="00BC3481" w:rsidRPr="00A808E0" w14:paraId="7F8E9048" w14:textId="77777777" w:rsidTr="00430543">
        <w:tc>
          <w:tcPr>
            <w:tcW w:w="9445" w:type="dxa"/>
          </w:tcPr>
          <w:p w14:paraId="4EA173B5" w14:textId="792335A3" w:rsidR="00BC3481" w:rsidRPr="00A808E0" w:rsidRDefault="00BC3481" w:rsidP="00BC3481">
            <w:pPr>
              <w:rPr>
                <w:szCs w:val="20"/>
              </w:rPr>
            </w:pPr>
            <w:r w:rsidRPr="00A808E0">
              <w:rPr>
                <w:b/>
              </w:rPr>
              <w:t>Week 15</w:t>
            </w:r>
            <w:r w:rsidRPr="00A808E0">
              <w:t xml:space="preserve"> – </w:t>
            </w:r>
            <w:r w:rsidR="007107B8" w:rsidRPr="00A808E0">
              <w:t>Dec</w:t>
            </w:r>
            <w:r w:rsidR="001D7C4C" w:rsidRPr="00A808E0">
              <w:t xml:space="preserve"> </w:t>
            </w:r>
            <w:r w:rsidR="007107B8" w:rsidRPr="00A808E0">
              <w:t>4</w:t>
            </w:r>
            <w:r w:rsidRPr="00A808E0">
              <w:t xml:space="preserve">, </w:t>
            </w:r>
            <w:proofErr w:type="gramStart"/>
            <w:r w:rsidRPr="00A808E0">
              <w:t>202</w:t>
            </w:r>
            <w:r w:rsidR="007107B8" w:rsidRPr="00A808E0">
              <w:t>4</w:t>
            </w:r>
            <w:proofErr w:type="gramEnd"/>
            <w:r w:rsidRPr="00A808E0">
              <w:t xml:space="preserve">      Final presentation </w:t>
            </w:r>
          </w:p>
          <w:p w14:paraId="04DF24AC" w14:textId="77777777" w:rsidR="00BC3481" w:rsidRPr="00A808E0" w:rsidRDefault="00BC3481" w:rsidP="0025528D">
            <w:pPr>
              <w:rPr>
                <w:b/>
              </w:rPr>
            </w:pPr>
          </w:p>
        </w:tc>
      </w:tr>
    </w:tbl>
    <w:p w14:paraId="7756D54A" w14:textId="77777777" w:rsidR="00460762" w:rsidRPr="002E4223" w:rsidRDefault="00460762" w:rsidP="00460762">
      <w:pPr>
        <w:pStyle w:val="GeorgiaText"/>
        <w:rPr>
          <w:rFonts w:ascii="Times New Roman" w:hAnsi="Times New Roman" w:cs="Times New Roman"/>
          <w:b/>
          <w:bCs/>
          <w:lang w:bidi="en-US"/>
        </w:rPr>
      </w:pPr>
    </w:p>
    <w:p w14:paraId="59416281" w14:textId="35CC555B" w:rsidR="00460762" w:rsidRPr="00A808E0" w:rsidRDefault="00460762" w:rsidP="00460762">
      <w:pPr>
        <w:pStyle w:val="NormalWeb"/>
        <w:shd w:val="clear" w:color="auto" w:fill="FFFFFF"/>
        <w:rPr>
          <w:b/>
          <w:bCs/>
          <w:color w:val="212121"/>
        </w:rPr>
      </w:pPr>
      <w:bookmarkStart w:id="0" w:name="_Hlk46298749"/>
      <w:r w:rsidRPr="00A808E0">
        <w:rPr>
          <w:b/>
          <w:bCs/>
          <w:color w:val="212121"/>
        </w:rPr>
        <w:t xml:space="preserve">Sharing of Course Materials is Prohibited </w:t>
      </w:r>
    </w:p>
    <w:bookmarkEnd w:id="0"/>
    <w:p w14:paraId="5D0B7C88" w14:textId="55E0B458" w:rsidR="00460762" w:rsidRPr="00A808E0" w:rsidRDefault="00460762" w:rsidP="00460762">
      <w:pPr>
        <w:pStyle w:val="GeorgiaText"/>
        <w:spacing w:line="240" w:lineRule="auto"/>
        <w:rPr>
          <w:rFonts w:ascii="Times New Roman" w:hAnsi="Times New Roman" w:cs="Times New Roman"/>
          <w:color w:val="auto"/>
          <w:sz w:val="23"/>
          <w:szCs w:val="23"/>
          <w:lang w:bidi="en-US"/>
        </w:rPr>
      </w:pPr>
      <w:r w:rsidRPr="00A808E0">
        <w:rPr>
          <w:rFonts w:ascii="Times New Roman" w:hAnsi="Times New Roman" w:cs="Times New Roman"/>
          <w:color w:val="auto"/>
          <w:sz w:val="23"/>
          <w:szCs w:val="23"/>
          <w:lang w:bidi="en-US"/>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explicit, written permission of the instructor. Unauthorized sharing of materials promotes cheating. It is a violation of the University’s Student Honor Code and an act of academic dishonesty. The University is well aware of the sites used for sharing materials, and any materials found on such sites that are associated with a specific student, or any suspected unauthorized sharing of materials, will be reported to </w:t>
      </w:r>
      <w:hyperlink r:id="rId19" w:history="1">
        <w:r w:rsidRPr="00A808E0">
          <w:rPr>
            <w:rStyle w:val="Hyperlink"/>
            <w:rFonts w:ascii="Times New Roman" w:hAnsi="Times New Roman" w:cs="Times New Roman"/>
            <w:color w:val="auto"/>
            <w:sz w:val="23"/>
            <w:szCs w:val="23"/>
            <w:lang w:bidi="en-US"/>
          </w:rPr>
          <w:t>Student Conduct and Academic Integrity</w:t>
        </w:r>
      </w:hyperlink>
      <w:r w:rsidRPr="00A808E0">
        <w:rPr>
          <w:rFonts w:ascii="Times New Roman" w:hAnsi="Times New Roman" w:cs="Times New Roman"/>
          <w:color w:val="auto"/>
          <w:sz w:val="23"/>
          <w:szCs w:val="23"/>
          <w:lang w:bidi="en-US"/>
        </w:rPr>
        <w:t xml:space="preserve"> in the </w:t>
      </w:r>
      <w:hyperlink r:id="rId20" w:history="1">
        <w:r w:rsidRPr="00A808E0">
          <w:rPr>
            <w:rStyle w:val="Hyperlink"/>
            <w:rFonts w:ascii="Times New Roman" w:hAnsi="Times New Roman" w:cs="Times New Roman"/>
            <w:color w:val="auto"/>
            <w:sz w:val="23"/>
            <w:szCs w:val="23"/>
            <w:lang w:bidi="en-US"/>
          </w:rPr>
          <w:t>Office of the Dean of Students</w:t>
        </w:r>
      </w:hyperlink>
      <w:r w:rsidRPr="00A808E0">
        <w:rPr>
          <w:rFonts w:ascii="Times New Roman" w:hAnsi="Times New Roman" w:cs="Times New Roman"/>
          <w:color w:val="auto"/>
          <w:sz w:val="23"/>
          <w:szCs w:val="23"/>
          <w:lang w:bidi="en-US"/>
        </w:rPr>
        <w:t>. These reports can result in sanctions, including failure of the course.</w:t>
      </w:r>
    </w:p>
    <w:p w14:paraId="74AD056A" w14:textId="1F24ACF2" w:rsidR="00845EA6" w:rsidRPr="00A808E0" w:rsidRDefault="00845EA6" w:rsidP="00460762">
      <w:pPr>
        <w:pStyle w:val="NormalWeb"/>
        <w:shd w:val="clear" w:color="auto" w:fill="FFFFFF"/>
        <w:rPr>
          <w:b/>
          <w:bCs/>
          <w:color w:val="212121"/>
        </w:rPr>
      </w:pPr>
      <w:r w:rsidRPr="00A808E0">
        <w:rPr>
          <w:b/>
          <w:bCs/>
          <w:color w:val="212121"/>
        </w:rPr>
        <w:t>Religious Holy Days</w:t>
      </w:r>
    </w:p>
    <w:p w14:paraId="569D8967" w14:textId="6C3B76D5" w:rsidR="00845EA6" w:rsidRPr="00A808E0" w:rsidRDefault="00845EA6" w:rsidP="00845EA6">
      <w:pPr>
        <w:pStyle w:val="GeorgiaText"/>
        <w:spacing w:line="240" w:lineRule="auto"/>
        <w:rPr>
          <w:rFonts w:ascii="Times New Roman" w:hAnsi="Times New Roman" w:cs="Times New Roman"/>
          <w:color w:val="auto"/>
          <w:sz w:val="23"/>
          <w:szCs w:val="23"/>
          <w:lang w:bidi="en-US"/>
        </w:rPr>
      </w:pPr>
      <w:r w:rsidRPr="00A808E0">
        <w:rPr>
          <w:rFonts w:ascii="Times New Roman" w:hAnsi="Times New Roman" w:cs="Times New Roman"/>
          <w:color w:val="auto"/>
          <w:sz w:val="23"/>
          <w:szCs w:val="23"/>
          <w:lang w:bidi="en-US"/>
        </w:rPr>
        <w:t xml:space="preserve">By </w:t>
      </w:r>
      <w:hyperlink r:id="rId21" w:history="1">
        <w:r w:rsidRPr="00A808E0">
          <w:rPr>
            <w:rStyle w:val="Hyperlink"/>
            <w:rFonts w:ascii="Times New Roman" w:hAnsi="Times New Roman" w:cs="Times New Roman"/>
            <w:color w:val="auto"/>
            <w:sz w:val="23"/>
            <w:szCs w:val="23"/>
            <w:lang w:bidi="en-US"/>
          </w:rPr>
          <w:t>UT Austin policy</w:t>
        </w:r>
      </w:hyperlink>
      <w:r w:rsidRPr="00A808E0">
        <w:rPr>
          <w:rFonts w:ascii="Times New Roman" w:hAnsi="Times New Roman" w:cs="Times New Roman"/>
          <w:color w:val="auto"/>
          <w:sz w:val="23"/>
          <w:szCs w:val="23"/>
          <w:lang w:bidi="en-US"/>
        </w:rPr>
        <w:t>, you must notify me of your pending absence as far in advance as possible to the date of observance of a religious holy day. If you must miss a class, an examination, a work assignment, or a project in order to observe a religious holy day, you will be given an opportunity to complete the missed work within a reasonable time after the absence.</w:t>
      </w:r>
    </w:p>
    <w:p w14:paraId="78DBB14F" w14:textId="77777777" w:rsidR="00845EA6" w:rsidRPr="00A808E0" w:rsidRDefault="00845EA6" w:rsidP="00460762">
      <w:pPr>
        <w:pStyle w:val="NormalWeb"/>
        <w:shd w:val="clear" w:color="auto" w:fill="FFFFFF"/>
        <w:rPr>
          <w:b/>
          <w:bCs/>
          <w:color w:val="212121"/>
        </w:rPr>
      </w:pPr>
      <w:r w:rsidRPr="00A808E0">
        <w:rPr>
          <w:b/>
          <w:bCs/>
          <w:color w:val="212121"/>
        </w:rPr>
        <w:t>Personal Pronoun Preference</w:t>
      </w:r>
    </w:p>
    <w:p w14:paraId="70C05DB1" w14:textId="63BCA1FF" w:rsidR="00845EA6" w:rsidRPr="00A808E0" w:rsidRDefault="00845EA6" w:rsidP="00845EA6">
      <w:pPr>
        <w:rPr>
          <w:szCs w:val="20"/>
        </w:rPr>
      </w:pPr>
      <w:r w:rsidRPr="00A808E0">
        <w:rPr>
          <w:rFonts w:eastAsia="Calibri"/>
          <w:szCs w:val="20"/>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unless they have added a “preferred name” with the Gender and Sexuality Center, which you can do so here: </w:t>
      </w:r>
      <w:hyperlink r:id="rId22" w:history="1">
        <w:r w:rsidRPr="00A808E0">
          <w:rPr>
            <w:rStyle w:val="Hyperlink"/>
            <w:rFonts w:eastAsia="Calibri"/>
            <w:szCs w:val="20"/>
          </w:rPr>
          <w:t>http://diversity.utexas.edu/genderandsexuality/publications-and-resources/</w:t>
        </w:r>
      </w:hyperlink>
      <w:r w:rsidRPr="00A808E0">
        <w:rPr>
          <w:rFonts w:eastAsia="Calibri"/>
          <w:szCs w:val="20"/>
        </w:rPr>
        <w:t xml:space="preserve">. I will gladly honor your request to address you by a name that is different from what appears on the official roster, and by the gender pronouns you use (she/he/they/ze, </w:t>
      </w:r>
      <w:proofErr w:type="spellStart"/>
      <w:r w:rsidRPr="00A808E0">
        <w:rPr>
          <w:rFonts w:eastAsia="Calibri"/>
          <w:szCs w:val="20"/>
        </w:rPr>
        <w:t>etc</w:t>
      </w:r>
      <w:proofErr w:type="spellEnd"/>
      <w:r w:rsidRPr="00A808E0">
        <w:rPr>
          <w:rFonts w:eastAsia="Calibri"/>
          <w:szCs w:val="20"/>
        </w:rPr>
        <w:t xml:space="preserve">). Please advise me of any changes early in the semester so that I may make appropriate updates to my records. For instructions on how to add your pronouns to Canvas, visit </w:t>
      </w:r>
      <w:hyperlink r:id="rId23">
        <w:r w:rsidRPr="00A808E0">
          <w:rPr>
            <w:rStyle w:val="Hyperlink"/>
            <w:rFonts w:eastAsia="Calibri"/>
            <w:color w:val="800080"/>
            <w:szCs w:val="20"/>
          </w:rPr>
          <w:t>https://utexas.instructure.com/courses/633028/pages/profile-pronouns</w:t>
        </w:r>
      </w:hyperlink>
      <w:r w:rsidRPr="00A808E0">
        <w:rPr>
          <w:rFonts w:eastAsia="Calibri"/>
          <w:szCs w:val="20"/>
        </w:rPr>
        <w:t>.</w:t>
      </w:r>
    </w:p>
    <w:p w14:paraId="3E4EB478" w14:textId="67E5AA3A" w:rsidR="00845EA6" w:rsidRPr="00A808E0" w:rsidRDefault="00845EA6" w:rsidP="00460762">
      <w:pPr>
        <w:pStyle w:val="NormalWeb"/>
        <w:shd w:val="clear" w:color="auto" w:fill="FFFFFF"/>
        <w:rPr>
          <w:b/>
          <w:bCs/>
          <w:color w:val="212121"/>
        </w:rPr>
      </w:pPr>
      <w:r w:rsidRPr="00A808E0">
        <w:rPr>
          <w:b/>
          <w:bCs/>
          <w:color w:val="212121"/>
        </w:rPr>
        <w:t>Student Rights &amp; Responsibilities</w:t>
      </w:r>
    </w:p>
    <w:p w14:paraId="6C6E39A8" w14:textId="77777777" w:rsidR="00845EA6" w:rsidRPr="00A808E0" w:rsidRDefault="00845EA6" w:rsidP="00845EA6">
      <w:pPr>
        <w:pStyle w:val="GeorgiaText"/>
        <w:numPr>
          <w:ilvl w:val="0"/>
          <w:numId w:val="31"/>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lastRenderedPageBreak/>
        <w:t>You have a right to a learning environment that supports mental and physical wellness.</w:t>
      </w:r>
    </w:p>
    <w:p w14:paraId="5BA6C89B" w14:textId="77777777" w:rsidR="00845EA6" w:rsidRPr="00A808E0" w:rsidRDefault="00845EA6" w:rsidP="00845EA6">
      <w:pPr>
        <w:pStyle w:val="GeorgiaText"/>
        <w:numPr>
          <w:ilvl w:val="0"/>
          <w:numId w:val="31"/>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have a right to respect.</w:t>
      </w:r>
    </w:p>
    <w:p w14:paraId="286AD5C6" w14:textId="77777777" w:rsidR="00845EA6" w:rsidRPr="00A808E0" w:rsidRDefault="00845EA6" w:rsidP="00845EA6">
      <w:pPr>
        <w:pStyle w:val="GeorgiaText"/>
        <w:numPr>
          <w:ilvl w:val="0"/>
          <w:numId w:val="31"/>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have a right to be assessed and graded fairly.</w:t>
      </w:r>
    </w:p>
    <w:p w14:paraId="2597E340" w14:textId="77777777" w:rsidR="00845EA6" w:rsidRPr="00A808E0" w:rsidRDefault="00845EA6" w:rsidP="00845EA6">
      <w:pPr>
        <w:pStyle w:val="GeorgiaText"/>
        <w:numPr>
          <w:ilvl w:val="0"/>
          <w:numId w:val="31"/>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have a right to freedom of opinion and expression.</w:t>
      </w:r>
    </w:p>
    <w:p w14:paraId="4EF5CB51" w14:textId="77777777" w:rsidR="00845EA6" w:rsidRPr="00A808E0" w:rsidRDefault="00845EA6" w:rsidP="00845EA6">
      <w:pPr>
        <w:pStyle w:val="GeorgiaText"/>
        <w:numPr>
          <w:ilvl w:val="0"/>
          <w:numId w:val="31"/>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have a right to privacy and confidentiality.</w:t>
      </w:r>
    </w:p>
    <w:p w14:paraId="4685BDB0" w14:textId="77777777" w:rsidR="00845EA6" w:rsidRPr="00A808E0" w:rsidRDefault="00845EA6" w:rsidP="00845EA6">
      <w:pPr>
        <w:pStyle w:val="GeorgiaText"/>
        <w:numPr>
          <w:ilvl w:val="0"/>
          <w:numId w:val="31"/>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have a right to meaningful and equal participation, to self-organize groups to improve your learning environment.</w:t>
      </w:r>
    </w:p>
    <w:p w14:paraId="13CAEBEC" w14:textId="77777777" w:rsidR="00845EA6" w:rsidRPr="00A808E0" w:rsidRDefault="00845EA6" w:rsidP="00845EA6">
      <w:pPr>
        <w:pStyle w:val="GeorgiaText"/>
        <w:numPr>
          <w:ilvl w:val="0"/>
          <w:numId w:val="31"/>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have a right to learn in an environment that is welcoming to all people. No student shall be isolated, excluded or diminished in any way.</w:t>
      </w:r>
    </w:p>
    <w:p w14:paraId="6AC96E2F" w14:textId="77777777" w:rsidR="00845EA6" w:rsidRPr="00A808E0" w:rsidRDefault="00845EA6" w:rsidP="00845EA6">
      <w:pPr>
        <w:pStyle w:val="GeorgiaText"/>
        <w:spacing w:line="240" w:lineRule="auto"/>
        <w:rPr>
          <w:rFonts w:ascii="Times New Roman" w:hAnsi="Times New Roman" w:cs="Times New Roman"/>
          <w:color w:val="auto"/>
          <w:sz w:val="23"/>
          <w:szCs w:val="23"/>
        </w:rPr>
      </w:pPr>
    </w:p>
    <w:p w14:paraId="4C94FCC8" w14:textId="77777777" w:rsidR="00845EA6" w:rsidRPr="00A808E0" w:rsidRDefault="00845EA6" w:rsidP="00845EA6">
      <w:pPr>
        <w:pStyle w:val="GeorgiaText"/>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With these rights come responsibilities:</w:t>
      </w:r>
    </w:p>
    <w:p w14:paraId="0AB25A4E" w14:textId="77777777" w:rsidR="00845EA6" w:rsidRPr="00A808E0" w:rsidRDefault="00845EA6" w:rsidP="00845EA6">
      <w:pPr>
        <w:pStyle w:val="GeorgiaText"/>
        <w:numPr>
          <w:ilvl w:val="0"/>
          <w:numId w:val="32"/>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are responsible for taking care of yourself, managing your time, and communicating with the teaching team and with others if things start to feel out of control or overwhelming.</w:t>
      </w:r>
    </w:p>
    <w:p w14:paraId="7AE7CD80" w14:textId="77777777" w:rsidR="00950CDF" w:rsidRPr="00A808E0" w:rsidRDefault="00845EA6" w:rsidP="00845EA6">
      <w:pPr>
        <w:pStyle w:val="GeorgiaText"/>
        <w:numPr>
          <w:ilvl w:val="0"/>
          <w:numId w:val="32"/>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are responsible for acting in a way that is worthy of respect and always respectful of others.</w:t>
      </w:r>
    </w:p>
    <w:p w14:paraId="773F070C" w14:textId="44F48D6C" w:rsidR="00845EA6" w:rsidRPr="00A808E0" w:rsidRDefault="00845EA6" w:rsidP="00845EA6">
      <w:pPr>
        <w:pStyle w:val="GeorgiaText"/>
        <w:numPr>
          <w:ilvl w:val="0"/>
          <w:numId w:val="32"/>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Your experience with this course is directly related to the quality of the energy that you bring to it, and your energy shapes the quality of your peers’ experiences.</w:t>
      </w:r>
    </w:p>
    <w:p w14:paraId="47FE57B6" w14:textId="77777777" w:rsidR="00845EA6" w:rsidRPr="00A808E0" w:rsidRDefault="00845EA6" w:rsidP="00845EA6">
      <w:pPr>
        <w:pStyle w:val="GeorgiaText"/>
        <w:numPr>
          <w:ilvl w:val="0"/>
          <w:numId w:val="32"/>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are responsible for creating an inclusive environment and for speaking up when someone is excluded.</w:t>
      </w:r>
    </w:p>
    <w:p w14:paraId="549DA1A2" w14:textId="30D56363" w:rsidR="00845EA6" w:rsidRPr="00A808E0" w:rsidRDefault="00845EA6" w:rsidP="00845EA6">
      <w:pPr>
        <w:pStyle w:val="GeorgiaText"/>
        <w:numPr>
          <w:ilvl w:val="0"/>
          <w:numId w:val="32"/>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You are responsible for holding yourself accountable to these standards, holding each other to these standards, and holding the teaching team accountable as well.</w:t>
      </w:r>
    </w:p>
    <w:p w14:paraId="4CE2B7A2" w14:textId="5145B8D2" w:rsidR="00A02946" w:rsidRPr="00A808E0" w:rsidRDefault="00A02946" w:rsidP="00460762">
      <w:pPr>
        <w:pStyle w:val="NormalWeb"/>
        <w:shd w:val="clear" w:color="auto" w:fill="FFFFFF"/>
        <w:rPr>
          <w:b/>
          <w:bCs/>
          <w:color w:val="212121"/>
        </w:rPr>
      </w:pPr>
      <w:r w:rsidRPr="00A808E0">
        <w:rPr>
          <w:b/>
          <w:bCs/>
          <w:color w:val="212121"/>
        </w:rPr>
        <w:t>University Resources for Students</w:t>
      </w:r>
    </w:p>
    <w:p w14:paraId="3F607A81" w14:textId="77777777" w:rsidR="008F2CE2" w:rsidRPr="00A808E0" w:rsidRDefault="008F2CE2" w:rsidP="00A02946">
      <w:pPr>
        <w:autoSpaceDE w:val="0"/>
        <w:autoSpaceDN w:val="0"/>
        <w:adjustRightInd w:val="0"/>
        <w:rPr>
          <w:rFonts w:eastAsiaTheme="minorEastAsia"/>
          <w:i/>
          <w:iCs/>
          <w:color w:val="000000"/>
        </w:rPr>
      </w:pPr>
      <w:r w:rsidRPr="00A808E0">
        <w:rPr>
          <w:rFonts w:eastAsiaTheme="minorEastAsia"/>
          <w:i/>
          <w:iCs/>
          <w:color w:val="000000"/>
        </w:rPr>
        <w:t>Canvas Resources</w:t>
      </w:r>
    </w:p>
    <w:p w14:paraId="73254764" w14:textId="34F8ADD6" w:rsidR="008F2CE2" w:rsidRPr="00A808E0" w:rsidRDefault="008F2CE2" w:rsidP="00A02946">
      <w:pPr>
        <w:autoSpaceDE w:val="0"/>
        <w:autoSpaceDN w:val="0"/>
        <w:adjustRightInd w:val="0"/>
        <w:rPr>
          <w:rFonts w:eastAsiaTheme="minorEastAsia"/>
          <w:color w:val="000000"/>
        </w:rPr>
      </w:pPr>
      <w:r w:rsidRPr="00A808E0">
        <w:rPr>
          <w:rFonts w:eastAsiaTheme="minorEastAsia"/>
          <w:color w:val="000000"/>
        </w:rPr>
        <w:t>You can access the </w:t>
      </w:r>
      <w:hyperlink r:id="rId24" w:tooltip="Original URL:&#10;https://utexas.instructure.com/enroll/TP964H&#10;&#10;Click to follow link." w:history="1">
        <w:r w:rsidRPr="00A808E0">
          <w:rPr>
            <w:rFonts w:eastAsiaTheme="minorEastAsia"/>
            <w:color w:val="000000"/>
          </w:rPr>
          <w:t>University Resources for Students Canvas site</w:t>
        </w:r>
      </w:hyperlink>
      <w:r w:rsidRPr="00A808E0">
        <w:rPr>
          <w:rFonts w:eastAsiaTheme="minorEastAsia"/>
          <w:color w:val="000000"/>
        </w:rPr>
        <w:t xml:space="preserve"> at: </w:t>
      </w:r>
      <w:hyperlink r:id="rId25" w:history="1">
        <w:r w:rsidRPr="00A808E0">
          <w:rPr>
            <w:rFonts w:eastAsiaTheme="minorEastAsia"/>
            <w:color w:val="000000"/>
          </w:rPr>
          <w:t>https://utexas.instructure.com/enroll/TP964H</w:t>
        </w:r>
      </w:hyperlink>
      <w:r w:rsidRPr="00A808E0">
        <w:rPr>
          <w:rFonts w:eastAsiaTheme="minorEastAsia"/>
          <w:color w:val="000000"/>
        </w:rPr>
        <w:t>. The site provides a list of resources that are important for students as they engage with and navigate your course and the university. </w:t>
      </w:r>
    </w:p>
    <w:p w14:paraId="4B159487" w14:textId="77777777" w:rsidR="008F2CE2" w:rsidRPr="00A808E0" w:rsidRDefault="008F2CE2" w:rsidP="00A02946">
      <w:pPr>
        <w:autoSpaceDE w:val="0"/>
        <w:autoSpaceDN w:val="0"/>
        <w:adjustRightInd w:val="0"/>
        <w:rPr>
          <w:rFonts w:eastAsiaTheme="minorEastAsia"/>
          <w:i/>
          <w:iCs/>
          <w:color w:val="000000"/>
        </w:rPr>
      </w:pPr>
    </w:p>
    <w:p w14:paraId="30AB94B9" w14:textId="1AA81E81" w:rsidR="00A02946" w:rsidRPr="00A808E0" w:rsidRDefault="00A02946" w:rsidP="00A02946">
      <w:pPr>
        <w:autoSpaceDE w:val="0"/>
        <w:autoSpaceDN w:val="0"/>
        <w:adjustRightInd w:val="0"/>
        <w:rPr>
          <w:rFonts w:eastAsiaTheme="minorEastAsia"/>
          <w:color w:val="000000"/>
        </w:rPr>
      </w:pPr>
      <w:r w:rsidRPr="00A808E0">
        <w:rPr>
          <w:rFonts w:eastAsiaTheme="minorEastAsia"/>
          <w:i/>
          <w:iCs/>
          <w:color w:val="000000"/>
        </w:rPr>
        <w:t xml:space="preserve">Personal or Family Emergencies </w:t>
      </w:r>
    </w:p>
    <w:p w14:paraId="41755300" w14:textId="77777777" w:rsidR="00A02946" w:rsidRPr="00A808E0" w:rsidRDefault="00A02946" w:rsidP="00A02946">
      <w:pPr>
        <w:rPr>
          <w:rFonts w:eastAsiaTheme="minorEastAsia"/>
          <w:color w:val="000000"/>
        </w:rPr>
      </w:pPr>
      <w:r w:rsidRPr="00A808E0">
        <w:rPr>
          <w:rFonts w:eastAsiaTheme="minorEastAsia"/>
          <w:color w:val="000000"/>
        </w:rPr>
        <w:t xml:space="preserve">If you experience a personal or family emergency (death in the family, protracted sickness, serious mental health issues) you should contact </w:t>
      </w:r>
      <w:r w:rsidRPr="00A808E0">
        <w:rPr>
          <w:rFonts w:eastAsiaTheme="minorEastAsia"/>
          <w:color w:val="000000" w:themeColor="text1"/>
        </w:rPr>
        <w:t xml:space="preserve">Student Emergency Services in the Office of the Dean of Students. </w:t>
      </w:r>
      <w:r w:rsidRPr="00A808E0">
        <w:rPr>
          <w:rFonts w:eastAsiaTheme="minorEastAsia"/>
          <w:color w:val="000000"/>
        </w:rPr>
        <w:t>As advocates, SES supports students by providing the most comprehensive outreach, assistance, intervention, and referrals. They will also work with you to communicate with me and your other professors and let them know of your situation.</w:t>
      </w:r>
    </w:p>
    <w:p w14:paraId="4CFE0004" w14:textId="77777777" w:rsidR="00A02946" w:rsidRPr="00A808E0" w:rsidRDefault="00A02946" w:rsidP="00A02946">
      <w:pPr>
        <w:rPr>
          <w:rFonts w:eastAsiaTheme="minorEastAsia"/>
          <w:color w:val="000000"/>
          <w:sz w:val="23"/>
          <w:szCs w:val="23"/>
        </w:rPr>
      </w:pPr>
    </w:p>
    <w:p w14:paraId="47536B33" w14:textId="1CAA20CD" w:rsidR="00A02946" w:rsidRPr="00A808E0" w:rsidRDefault="00A02946" w:rsidP="00A02946">
      <w:pPr>
        <w:autoSpaceDE w:val="0"/>
        <w:autoSpaceDN w:val="0"/>
        <w:adjustRightInd w:val="0"/>
        <w:rPr>
          <w:rFonts w:eastAsiaTheme="minorEastAsia"/>
          <w:i/>
          <w:iCs/>
          <w:color w:val="000000"/>
        </w:rPr>
      </w:pPr>
      <w:r w:rsidRPr="00A808E0">
        <w:rPr>
          <w:rFonts w:eastAsiaTheme="minorEastAsia"/>
          <w:i/>
          <w:iCs/>
          <w:color w:val="000000"/>
        </w:rPr>
        <w:t>Services</w:t>
      </w:r>
      <w:r w:rsidR="001E1369" w:rsidRPr="00A808E0">
        <w:rPr>
          <w:rFonts w:eastAsiaTheme="minorEastAsia"/>
          <w:i/>
          <w:iCs/>
          <w:color w:val="000000"/>
        </w:rPr>
        <w:t xml:space="preserve"> </w:t>
      </w:r>
      <w:r w:rsidRPr="00A808E0">
        <w:rPr>
          <w:rFonts w:eastAsiaTheme="minorEastAsia"/>
          <w:i/>
          <w:iCs/>
          <w:color w:val="000000"/>
        </w:rPr>
        <w:t>for Students with Disabilities</w:t>
      </w:r>
    </w:p>
    <w:p w14:paraId="45B92C8B" w14:textId="77777777" w:rsidR="00DF28B4" w:rsidRPr="00A808E0" w:rsidRDefault="00DF28B4" w:rsidP="00DF28B4">
      <w:pPr>
        <w:pStyle w:val="BodyText"/>
        <w:ind w:left="0"/>
        <w:rPr>
          <w:rFonts w:ascii="Times New Roman" w:hAnsi="Times New Roman" w:cs="Times New Roman"/>
          <w:sz w:val="23"/>
          <w:szCs w:val="23"/>
        </w:rPr>
      </w:pPr>
      <w:r w:rsidRPr="00A808E0">
        <w:rPr>
          <w:rFonts w:ascii="Times New Roman" w:hAnsi="Times New Roman" w:cs="Times New Roman"/>
          <w:sz w:val="23"/>
          <w:szCs w:val="23"/>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Services for Students with Disabilities (SSD). Please refer to SSD’s website for contact and more information: </w:t>
      </w:r>
      <w:hyperlink r:id="rId26">
        <w:r w:rsidRPr="00A808E0">
          <w:rPr>
            <w:rStyle w:val="Hyperlink"/>
            <w:rFonts w:ascii="Times New Roman" w:hAnsi="Times New Roman" w:cs="Times New Roman"/>
            <w:color w:val="800080"/>
            <w:sz w:val="23"/>
            <w:szCs w:val="23"/>
          </w:rPr>
          <w:t>http://diversity.utexas.edu/disability/</w:t>
        </w:r>
      </w:hyperlink>
      <w:r w:rsidRPr="00A808E0">
        <w:rPr>
          <w:rFonts w:ascii="Times New Roman" w:hAnsi="Times New Roman" w:cs="Times New Roman"/>
          <w:sz w:val="23"/>
          <w:szCs w:val="23"/>
        </w:rPr>
        <w:t>. If you are already registered with SSD, please deliver your Accommodation Letter to me as early as possible in the semester so we can discuss your approved accommodations and needs in this course.</w:t>
      </w:r>
    </w:p>
    <w:p w14:paraId="68B8C591" w14:textId="77777777" w:rsidR="00A02946" w:rsidRPr="00A808E0" w:rsidRDefault="00A02946" w:rsidP="00A02946">
      <w:pPr>
        <w:rPr>
          <w:rFonts w:eastAsiaTheme="minorEastAsia"/>
          <w:color w:val="000000"/>
          <w:sz w:val="23"/>
          <w:szCs w:val="23"/>
        </w:rPr>
      </w:pPr>
    </w:p>
    <w:p w14:paraId="2F5FA889" w14:textId="77777777" w:rsidR="00DF28B4" w:rsidRPr="00A808E0" w:rsidRDefault="00DF28B4" w:rsidP="00DF28B4">
      <w:pPr>
        <w:autoSpaceDE w:val="0"/>
        <w:autoSpaceDN w:val="0"/>
        <w:adjustRightInd w:val="0"/>
        <w:rPr>
          <w:rFonts w:eastAsiaTheme="minorEastAsia"/>
          <w:i/>
          <w:iCs/>
          <w:color w:val="000000"/>
        </w:rPr>
      </w:pPr>
      <w:r w:rsidRPr="00A808E0">
        <w:rPr>
          <w:rFonts w:eastAsiaTheme="minorEastAsia"/>
          <w:i/>
          <w:iCs/>
          <w:color w:val="000000"/>
        </w:rPr>
        <w:t xml:space="preserve">Counseling and Mental Health Center </w:t>
      </w:r>
    </w:p>
    <w:p w14:paraId="6F81016D" w14:textId="77777777" w:rsidR="00DF28B4" w:rsidRPr="00A808E0" w:rsidRDefault="00DF28B4" w:rsidP="00DF28B4">
      <w:pPr>
        <w:rPr>
          <w:sz w:val="23"/>
          <w:szCs w:val="23"/>
        </w:rPr>
      </w:pPr>
      <w:r w:rsidRPr="00A808E0">
        <w:rPr>
          <w:rFonts w:eastAsia="Calibri"/>
          <w:sz w:val="23"/>
          <w:szCs w:val="23"/>
        </w:rPr>
        <w:lastRenderedPageBreak/>
        <w:t xml:space="preserve">The </w:t>
      </w:r>
      <w:hyperlink r:id="rId27">
        <w:r w:rsidRPr="00A808E0">
          <w:rPr>
            <w:rStyle w:val="Hyperlink"/>
            <w:rFonts w:eastAsia="Calibri"/>
            <w:color w:val="800080"/>
            <w:sz w:val="23"/>
            <w:szCs w:val="23"/>
          </w:rPr>
          <w:t>Counseling and Mental Health Center</w:t>
        </w:r>
      </w:hyperlink>
      <w:r w:rsidRPr="00A808E0">
        <w:rPr>
          <w:rFonts w:eastAsia="Calibri"/>
          <w:sz w:val="23"/>
          <w:szCs w:val="23"/>
        </w:rPr>
        <w:t xml:space="preserve"> serves UT’s diverse campus community by providing high quality, innovative and culturally informed mental health programs and services that enhance and support students’ well-being, academic and life goals.  To learn more about your counseling and mental health options, call CMHC at (512) 471-3515. </w:t>
      </w:r>
      <w:r w:rsidRPr="00A808E0">
        <w:rPr>
          <w:sz w:val="23"/>
          <w:szCs w:val="23"/>
        </w:rPr>
        <w:t>If you are experiencing a mental health crisis, call the CMHC Crisis Line 24/7 at (512) 471-2255.</w:t>
      </w:r>
    </w:p>
    <w:p w14:paraId="7F0DA211" w14:textId="77777777" w:rsidR="00DF28B4" w:rsidRPr="00A808E0" w:rsidRDefault="00DF28B4" w:rsidP="00DF28B4">
      <w:pPr>
        <w:rPr>
          <w:rFonts w:eastAsiaTheme="minorEastAsia"/>
          <w:color w:val="000000"/>
          <w:sz w:val="23"/>
          <w:szCs w:val="23"/>
        </w:rPr>
      </w:pPr>
    </w:p>
    <w:p w14:paraId="13803E2B" w14:textId="77777777" w:rsidR="00A02946" w:rsidRPr="00A808E0" w:rsidRDefault="00A02946" w:rsidP="00A02946">
      <w:pPr>
        <w:autoSpaceDE w:val="0"/>
        <w:autoSpaceDN w:val="0"/>
        <w:adjustRightInd w:val="0"/>
        <w:rPr>
          <w:rFonts w:eastAsiaTheme="minorEastAsia"/>
          <w:i/>
          <w:iCs/>
          <w:color w:val="000000"/>
        </w:rPr>
      </w:pPr>
      <w:r w:rsidRPr="00A808E0">
        <w:rPr>
          <w:rFonts w:eastAsiaTheme="minorEastAsia"/>
          <w:i/>
          <w:iCs/>
          <w:color w:val="000000"/>
        </w:rPr>
        <w:t xml:space="preserve">The University Writing Center </w:t>
      </w:r>
    </w:p>
    <w:p w14:paraId="39DDC014" w14:textId="77777777" w:rsidR="00A02946" w:rsidRPr="00A808E0" w:rsidRDefault="00A02946" w:rsidP="00A02946">
      <w:pPr>
        <w:rPr>
          <w:sz w:val="23"/>
          <w:szCs w:val="23"/>
        </w:rPr>
      </w:pPr>
      <w:r w:rsidRPr="00A808E0">
        <w:rPr>
          <w:rFonts w:eastAsiaTheme="minorEastAsia"/>
          <w:color w:val="000000"/>
          <w:sz w:val="23"/>
          <w:szCs w:val="23"/>
        </w:rPr>
        <w:t xml:space="preserve">The UWC provides free programs to support and empower all UT graduate students. UWC </w:t>
      </w:r>
      <w:r w:rsidRPr="00A808E0">
        <w:rPr>
          <w:sz w:val="23"/>
          <w:szCs w:val="23"/>
        </w:rPr>
        <w:t>consultants provide one-on-one feedback on any project at any stage of your writing process. For group accountability and instruction, check out UWC monthly writing groups, workshops, and retreats.</w:t>
      </w:r>
    </w:p>
    <w:p w14:paraId="0B1E8B8C" w14:textId="77777777" w:rsidR="00A02946" w:rsidRPr="00A808E0" w:rsidRDefault="00A02946" w:rsidP="00A02946">
      <w:pPr>
        <w:rPr>
          <w:sz w:val="23"/>
          <w:szCs w:val="23"/>
        </w:rPr>
      </w:pPr>
    </w:p>
    <w:p w14:paraId="2DDC29E4" w14:textId="77777777" w:rsidR="00A02946" w:rsidRPr="00A808E0" w:rsidRDefault="00A02946" w:rsidP="00A02946">
      <w:pPr>
        <w:autoSpaceDE w:val="0"/>
        <w:autoSpaceDN w:val="0"/>
        <w:adjustRightInd w:val="0"/>
        <w:rPr>
          <w:rFonts w:eastAsiaTheme="minorEastAsia"/>
          <w:i/>
          <w:iCs/>
          <w:color w:val="000000"/>
        </w:rPr>
      </w:pPr>
      <w:r w:rsidRPr="00A808E0">
        <w:rPr>
          <w:rFonts w:eastAsiaTheme="minorEastAsia"/>
          <w:i/>
          <w:iCs/>
          <w:color w:val="000000"/>
        </w:rPr>
        <w:t xml:space="preserve">The Sanger Learning Center </w:t>
      </w:r>
    </w:p>
    <w:p w14:paraId="201AE6CF" w14:textId="77777777" w:rsidR="00DF28B4" w:rsidRPr="00A808E0" w:rsidRDefault="00DF28B4" w:rsidP="00DF28B4">
      <w:pPr>
        <w:pStyle w:val="GeorgiaText"/>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 xml:space="preserve">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28" w:history="1">
        <w:r w:rsidRPr="00A808E0">
          <w:rPr>
            <w:rStyle w:val="Hyperlink"/>
            <w:rFonts w:ascii="Times New Roman" w:hAnsi="Times New Roman" w:cs="Times New Roman"/>
            <w:color w:val="auto"/>
            <w:sz w:val="23"/>
            <w:szCs w:val="23"/>
          </w:rPr>
          <w:t>Sanger Learning Center</w:t>
        </w:r>
      </w:hyperlink>
      <w:r w:rsidRPr="00A808E0">
        <w:rPr>
          <w:rFonts w:ascii="Times New Roman" w:hAnsi="Times New Roman" w:cs="Times New Roman"/>
          <w:color w:val="auto"/>
          <w:sz w:val="23"/>
          <w:szCs w:val="23"/>
        </w:rPr>
        <w:t xml:space="preserve"> or call 512-471-3614 (JES A332).</w:t>
      </w:r>
    </w:p>
    <w:p w14:paraId="15AF9C6E" w14:textId="6BE2A9CD" w:rsidR="00A02946" w:rsidRPr="00A808E0" w:rsidRDefault="00A02946" w:rsidP="00A02946">
      <w:pPr>
        <w:autoSpaceDE w:val="0"/>
        <w:autoSpaceDN w:val="0"/>
        <w:adjustRightInd w:val="0"/>
        <w:rPr>
          <w:rFonts w:eastAsiaTheme="minorEastAsia"/>
          <w:color w:val="000000"/>
          <w:sz w:val="23"/>
          <w:szCs w:val="23"/>
        </w:rPr>
      </w:pPr>
    </w:p>
    <w:p w14:paraId="17A76388" w14:textId="77777777" w:rsidR="00DF28B4" w:rsidRPr="00A808E0" w:rsidRDefault="00DF28B4" w:rsidP="00DF28B4">
      <w:pPr>
        <w:autoSpaceDE w:val="0"/>
        <w:autoSpaceDN w:val="0"/>
        <w:adjustRightInd w:val="0"/>
        <w:rPr>
          <w:rFonts w:eastAsiaTheme="minorEastAsia"/>
          <w:i/>
          <w:iCs/>
          <w:color w:val="000000"/>
        </w:rPr>
      </w:pPr>
      <w:r w:rsidRPr="00A808E0">
        <w:rPr>
          <w:rFonts w:eastAsiaTheme="minorEastAsia"/>
          <w:i/>
          <w:iCs/>
          <w:color w:val="000000"/>
        </w:rPr>
        <w:t>Student Emergency Services</w:t>
      </w:r>
    </w:p>
    <w:p w14:paraId="0BA21A46" w14:textId="77777777" w:rsidR="00DF28B4" w:rsidRPr="00A808E0" w:rsidRDefault="00DF28B4" w:rsidP="00DF28B4">
      <w:pPr>
        <w:pStyle w:val="GeorgiaText"/>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 xml:space="preserve">UT’s </w:t>
      </w:r>
      <w:hyperlink r:id="rId29" w:history="1">
        <w:r w:rsidRPr="00A808E0">
          <w:rPr>
            <w:rStyle w:val="Hyperlink"/>
            <w:rFonts w:ascii="Times New Roman" w:hAnsi="Times New Roman" w:cs="Times New Roman"/>
            <w:color w:val="auto"/>
            <w:sz w:val="23"/>
            <w:szCs w:val="23"/>
          </w:rPr>
          <w:t>Student Emergency Services</w:t>
        </w:r>
      </w:hyperlink>
      <w:r w:rsidRPr="00A808E0">
        <w:rPr>
          <w:rFonts w:ascii="Times New Roman" w:hAnsi="Times New Roman" w:cs="Times New Roman"/>
          <w:color w:val="auto"/>
          <w:sz w:val="23"/>
          <w:szCs w:val="23"/>
        </w:rPr>
        <w:t xml:space="preserve"> provides assistance, intervention, and referrals to support students navigating challenging or unexpected issues that impact their well-being and academic success. If you need to be absent from class due to a family emergency, medical or mental health concern, or academic difficulty due to crisis or an emergency situation, please register with </w:t>
      </w:r>
      <w:hyperlink r:id="rId30" w:history="1">
        <w:r w:rsidRPr="00A808E0">
          <w:rPr>
            <w:rStyle w:val="Hyperlink"/>
            <w:rFonts w:ascii="Times New Roman" w:hAnsi="Times New Roman" w:cs="Times New Roman"/>
            <w:color w:val="auto"/>
            <w:sz w:val="23"/>
            <w:szCs w:val="23"/>
          </w:rPr>
          <w:t>Student Emergency Services</w:t>
        </w:r>
      </w:hyperlink>
      <w:r w:rsidRPr="00A808E0">
        <w:rPr>
          <w:rFonts w:ascii="Times New Roman" w:hAnsi="Times New Roman" w:cs="Times New Roman"/>
          <w:color w:val="auto"/>
          <w:sz w:val="23"/>
          <w:szCs w:val="23"/>
        </w:rPr>
        <w:t xml:space="preserve">. SES will verify your situation and notify your professors. </w:t>
      </w:r>
    </w:p>
    <w:p w14:paraId="71990D7D" w14:textId="77777777" w:rsidR="00DF28B4" w:rsidRPr="00A808E0" w:rsidRDefault="00DF28B4" w:rsidP="00A02946">
      <w:pPr>
        <w:autoSpaceDE w:val="0"/>
        <w:autoSpaceDN w:val="0"/>
        <w:adjustRightInd w:val="0"/>
        <w:rPr>
          <w:rFonts w:eastAsiaTheme="minorEastAsia"/>
          <w:color w:val="000000"/>
          <w:sz w:val="23"/>
          <w:szCs w:val="23"/>
        </w:rPr>
      </w:pPr>
    </w:p>
    <w:p w14:paraId="15D779D2" w14:textId="77777777" w:rsidR="00A02946" w:rsidRPr="00A808E0" w:rsidRDefault="00A02946" w:rsidP="00A02946">
      <w:pPr>
        <w:rPr>
          <w:rFonts w:eastAsiaTheme="minorEastAsia"/>
          <w:color w:val="000000"/>
          <w:sz w:val="23"/>
          <w:szCs w:val="23"/>
        </w:rPr>
      </w:pPr>
    </w:p>
    <w:p w14:paraId="06691EBF" w14:textId="77777777" w:rsidR="00CF2C89" w:rsidRPr="00A808E0" w:rsidRDefault="00CF2C89" w:rsidP="00CF2C89">
      <w:pPr>
        <w:pStyle w:val="NormalWeb"/>
        <w:shd w:val="clear" w:color="auto" w:fill="FFFFFF"/>
        <w:spacing w:before="0" w:beforeAutospacing="0" w:after="0" w:afterAutospacing="0"/>
      </w:pPr>
      <w:r w:rsidRPr="002E4223">
        <w:rPr>
          <w:b/>
          <w:bCs/>
          <w:color w:val="212121"/>
        </w:rPr>
        <w:t xml:space="preserve">Land Acknowledgment </w:t>
      </w:r>
    </w:p>
    <w:p w14:paraId="09CD345F" w14:textId="1ED64DED" w:rsidR="00CF2C89" w:rsidRPr="00A808E0" w:rsidRDefault="00E41EFB" w:rsidP="00CF2C89">
      <w:pPr>
        <w:pStyle w:val="NormalWeb"/>
        <w:shd w:val="clear" w:color="auto" w:fill="FFFFFF"/>
      </w:pPr>
      <w:r w:rsidRPr="002E4223">
        <w:t>We</w:t>
      </w:r>
      <w:r w:rsidR="00CF2C89" w:rsidRPr="002E4223">
        <w:t xml:space="preserve"> would like to acknowledge that we are meeting on Indigenous land. Moreover, </w:t>
      </w:r>
      <w:r w:rsidRPr="002E4223">
        <w:t>we</w:t>
      </w:r>
      <w:r w:rsidR="00CF2C89" w:rsidRPr="002E4223">
        <w:t xml:space="preserve"> would like to acknowledge and pay our respects to the Carrizo &amp; </w:t>
      </w:r>
      <w:proofErr w:type="spellStart"/>
      <w:r w:rsidR="00CF2C89" w:rsidRPr="002E4223">
        <w:t>Comecrudo</w:t>
      </w:r>
      <w:proofErr w:type="spellEnd"/>
      <w:r w:rsidR="00CF2C89" w:rsidRPr="002E4223">
        <w:t xml:space="preserve">, Coahuiltecan, Caddo, Tonkawa, Comanche, Lipan Apache, Alabama-Coushatta, Kickapoo, </w:t>
      </w:r>
      <w:proofErr w:type="spellStart"/>
      <w:r w:rsidR="00CF2C89" w:rsidRPr="002E4223">
        <w:t>Tigua</w:t>
      </w:r>
      <w:proofErr w:type="spellEnd"/>
      <w:r w:rsidR="00CF2C89" w:rsidRPr="002E4223">
        <w:t xml:space="preserve"> Pueblo, and all the American Indian and Indigenous Peoples and communities who have been or have become a part of these lands and territories in Texas, here on Turtle Island. </w:t>
      </w:r>
    </w:p>
    <w:p w14:paraId="5D704CC4" w14:textId="77777777" w:rsidR="00CF2C89" w:rsidRPr="00A808E0" w:rsidRDefault="00CF2C89" w:rsidP="00CF2C89">
      <w:pPr>
        <w:pStyle w:val="NormalWeb"/>
        <w:shd w:val="clear" w:color="auto" w:fill="FFFFFF"/>
        <w:rPr>
          <w:b/>
          <w:bCs/>
          <w:color w:val="212121"/>
        </w:rPr>
      </w:pPr>
      <w:r w:rsidRPr="00A808E0">
        <w:rPr>
          <w:b/>
          <w:bCs/>
          <w:color w:val="212121"/>
        </w:rPr>
        <w:t>Title IX Reporting</w:t>
      </w:r>
    </w:p>
    <w:p w14:paraId="49789122" w14:textId="77777777" w:rsidR="00845EA6" w:rsidRPr="00A808E0" w:rsidRDefault="00845EA6" w:rsidP="00845EA6">
      <w:pPr>
        <w:pStyle w:val="GeorgiaText"/>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Title IX is a federal law that protects against sex and gender-based discrimination, sexual harassment, sexual assault, sexual misconduct, dating/domestic violence and stalking at federally funded educational institutions. UT Austin is committed to fostering a learning and working environment free from discrimination in all its forms. When sexual misconduct occurs in our community, the university can:</w:t>
      </w:r>
    </w:p>
    <w:p w14:paraId="3164B42C" w14:textId="77777777" w:rsidR="00845EA6" w:rsidRPr="00A808E0" w:rsidRDefault="00845EA6" w:rsidP="00845EA6">
      <w:pPr>
        <w:pStyle w:val="GeorgiaText"/>
        <w:numPr>
          <w:ilvl w:val="0"/>
          <w:numId w:val="30"/>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Intervene to prevent harmful behavior from continuing or escalating.</w:t>
      </w:r>
    </w:p>
    <w:p w14:paraId="7F60C842" w14:textId="77777777" w:rsidR="00845EA6" w:rsidRPr="00A808E0" w:rsidRDefault="00845EA6" w:rsidP="00845EA6">
      <w:pPr>
        <w:pStyle w:val="GeorgiaText"/>
        <w:numPr>
          <w:ilvl w:val="0"/>
          <w:numId w:val="30"/>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 xml:space="preserve">Provide support and remedies to students and employees who have experienced harm or have become involved in a Title IX investigation. </w:t>
      </w:r>
    </w:p>
    <w:p w14:paraId="3EEF88BC" w14:textId="77777777" w:rsidR="00845EA6" w:rsidRPr="00A808E0" w:rsidRDefault="00845EA6" w:rsidP="00845EA6">
      <w:pPr>
        <w:pStyle w:val="GeorgiaText"/>
        <w:numPr>
          <w:ilvl w:val="0"/>
          <w:numId w:val="30"/>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 xml:space="preserve">Investigate and discipline violations of the university’s </w:t>
      </w:r>
      <w:hyperlink r:id="rId31">
        <w:r w:rsidRPr="00A808E0">
          <w:rPr>
            <w:rStyle w:val="Hyperlink"/>
            <w:rFonts w:ascii="Times New Roman" w:hAnsi="Times New Roman" w:cs="Times New Roman"/>
            <w:color w:val="auto"/>
            <w:sz w:val="23"/>
            <w:szCs w:val="23"/>
          </w:rPr>
          <w:t>relevant policies</w:t>
        </w:r>
      </w:hyperlink>
      <w:r w:rsidRPr="00A808E0">
        <w:rPr>
          <w:rFonts w:ascii="Times New Roman" w:hAnsi="Times New Roman" w:cs="Times New Roman"/>
          <w:color w:val="auto"/>
          <w:sz w:val="23"/>
          <w:szCs w:val="23"/>
        </w:rPr>
        <w:t>.</w:t>
      </w:r>
    </w:p>
    <w:p w14:paraId="065D5869" w14:textId="77777777" w:rsidR="00845EA6" w:rsidRPr="00A808E0" w:rsidRDefault="00845EA6" w:rsidP="00845EA6">
      <w:pPr>
        <w:pStyle w:val="GeorgiaText"/>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 xml:space="preserve"> </w:t>
      </w:r>
    </w:p>
    <w:p w14:paraId="4A8C0569" w14:textId="59551F93" w:rsidR="00CF2C89" w:rsidRPr="00A808E0" w:rsidRDefault="00845EA6" w:rsidP="00845EA6">
      <w:pPr>
        <w:pStyle w:val="GeorgiaText"/>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lastRenderedPageBreak/>
        <w:t xml:space="preserve">Faculty members and certain staff members are considered “Responsible Employees” or “Mandatory Reporters,” which means that they are required to report violations of Title IX to the Title IX Coordinator. </w:t>
      </w:r>
      <w:r w:rsidRPr="00A808E0">
        <w:rPr>
          <w:rStyle w:val="Strong"/>
          <w:rFonts w:ascii="Times New Roman" w:hAnsi="Times New Roman" w:cs="Times New Roman"/>
          <w:color w:val="auto"/>
          <w:sz w:val="23"/>
          <w:szCs w:val="23"/>
        </w:rPr>
        <w:t>I am a Responsible Employee and must report any Title IX-related incidents</w:t>
      </w:r>
      <w:r w:rsidRPr="00A808E0">
        <w:rPr>
          <w:rFonts w:ascii="Times New Roman" w:hAnsi="Times New Roman" w:cs="Times New Roman"/>
          <w:color w:val="auto"/>
          <w:sz w:val="23"/>
          <w:szCs w:val="23"/>
        </w:rPr>
        <w:t xml:space="preserve"> that are disclosed in writing, discussion, or one-on-one. Before talking with me or with any faculty or staff member about a Title IX-related incident, be sure to ask whether they are a responsible employee. If you want to speak with someone for support or remedies without making an official report to the university, email </w:t>
      </w:r>
      <w:hyperlink r:id="rId32">
        <w:r w:rsidRPr="00A808E0">
          <w:rPr>
            <w:rStyle w:val="Hyperlink"/>
            <w:rFonts w:ascii="Times New Roman" w:hAnsi="Times New Roman" w:cs="Times New Roman"/>
            <w:color w:val="auto"/>
            <w:sz w:val="23"/>
            <w:szCs w:val="23"/>
          </w:rPr>
          <w:t>advocate@austin.utexas.edu</w:t>
        </w:r>
      </w:hyperlink>
      <w:r w:rsidRPr="00A808E0">
        <w:rPr>
          <w:rFonts w:ascii="Times New Roman" w:hAnsi="Times New Roman" w:cs="Times New Roman"/>
          <w:color w:val="auto"/>
          <w:sz w:val="23"/>
          <w:szCs w:val="23"/>
        </w:rPr>
        <w:t xml:space="preserve"> For more information about reporting options and resources, visit the </w:t>
      </w:r>
      <w:hyperlink r:id="rId33" w:history="1">
        <w:r w:rsidRPr="00A808E0">
          <w:rPr>
            <w:rStyle w:val="Hyperlink"/>
            <w:rFonts w:ascii="Times New Roman" w:hAnsi="Times New Roman" w:cs="Times New Roman"/>
            <w:color w:val="auto"/>
            <w:sz w:val="23"/>
            <w:szCs w:val="23"/>
          </w:rPr>
          <w:t>Title IX Office</w:t>
        </w:r>
      </w:hyperlink>
      <w:r w:rsidRPr="00A808E0">
        <w:rPr>
          <w:rFonts w:ascii="Times New Roman" w:hAnsi="Times New Roman" w:cs="Times New Roman"/>
          <w:color w:val="auto"/>
          <w:sz w:val="23"/>
          <w:szCs w:val="23"/>
        </w:rPr>
        <w:t xml:space="preserve"> or email </w:t>
      </w:r>
      <w:hyperlink r:id="rId34">
        <w:r w:rsidRPr="00A808E0">
          <w:rPr>
            <w:rStyle w:val="Hyperlink"/>
            <w:rFonts w:ascii="Times New Roman" w:hAnsi="Times New Roman" w:cs="Times New Roman"/>
            <w:color w:val="auto"/>
            <w:sz w:val="23"/>
            <w:szCs w:val="23"/>
          </w:rPr>
          <w:t>titleix@austin.utexas.edu</w:t>
        </w:r>
      </w:hyperlink>
      <w:r w:rsidRPr="00A808E0">
        <w:rPr>
          <w:rFonts w:ascii="Times New Roman" w:hAnsi="Times New Roman" w:cs="Times New Roman"/>
          <w:color w:val="auto"/>
          <w:sz w:val="23"/>
          <w:szCs w:val="23"/>
        </w:rPr>
        <w:t xml:space="preserve">. </w:t>
      </w:r>
    </w:p>
    <w:p w14:paraId="6D624B70" w14:textId="77777777" w:rsidR="00DF28B4" w:rsidRPr="00A808E0" w:rsidRDefault="00DF28B4" w:rsidP="00DF28B4">
      <w:pPr>
        <w:pStyle w:val="NormalWeb"/>
        <w:shd w:val="clear" w:color="auto" w:fill="FFFFFF"/>
        <w:rPr>
          <w:b/>
          <w:bCs/>
          <w:color w:val="212121"/>
        </w:rPr>
      </w:pPr>
      <w:r w:rsidRPr="00A808E0">
        <w:rPr>
          <w:b/>
          <w:bCs/>
          <w:color w:val="212121"/>
        </w:rPr>
        <w:t>Campus Safety</w:t>
      </w:r>
    </w:p>
    <w:p w14:paraId="6EF4F7B4" w14:textId="77777777" w:rsidR="00DF28B4" w:rsidRPr="00A808E0" w:rsidRDefault="00DF28B4" w:rsidP="00DF28B4">
      <w:pPr>
        <w:pStyle w:val="GeorgiaText"/>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 xml:space="preserve">The following are recommendations regarding emergency evacuation from the </w:t>
      </w:r>
      <w:hyperlink r:id="rId35" w:history="1">
        <w:r w:rsidRPr="00A808E0">
          <w:rPr>
            <w:rStyle w:val="Hyperlink"/>
            <w:rFonts w:ascii="Times New Roman" w:hAnsi="Times New Roman" w:cs="Times New Roman"/>
            <w:color w:val="auto"/>
            <w:sz w:val="23"/>
            <w:szCs w:val="23"/>
          </w:rPr>
          <w:t>Office of Campus Safety and Security</w:t>
        </w:r>
      </w:hyperlink>
      <w:r w:rsidRPr="00A808E0">
        <w:rPr>
          <w:rFonts w:ascii="Times New Roman" w:hAnsi="Times New Roman" w:cs="Times New Roman"/>
          <w:color w:val="auto"/>
          <w:sz w:val="23"/>
          <w:szCs w:val="23"/>
        </w:rPr>
        <w:t xml:space="preserve">, 512-471-5767, </w:t>
      </w:r>
    </w:p>
    <w:p w14:paraId="46CFA382" w14:textId="77777777" w:rsidR="00DF28B4" w:rsidRPr="00A808E0" w:rsidRDefault="00DF28B4" w:rsidP="00DF28B4">
      <w:pPr>
        <w:pStyle w:val="GeorgiaText"/>
        <w:numPr>
          <w:ilvl w:val="0"/>
          <w:numId w:val="29"/>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Occupants of buildings on The University of Texas at Austin campus must evacuate buildings when a fire alarm is activated. Alarm activation or announcement requires exiting and assembling outside.</w:t>
      </w:r>
    </w:p>
    <w:p w14:paraId="26C09A74" w14:textId="77777777" w:rsidR="00DF28B4" w:rsidRPr="00A808E0" w:rsidRDefault="00DF28B4" w:rsidP="00DF28B4">
      <w:pPr>
        <w:pStyle w:val="GeorgiaText"/>
        <w:numPr>
          <w:ilvl w:val="0"/>
          <w:numId w:val="28"/>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Familiarize yourself with all exit doors of each classroom and building you may occupy. Remember that the nearest exit door may not be the one you used when entering the building.</w:t>
      </w:r>
    </w:p>
    <w:p w14:paraId="45F22104" w14:textId="77777777" w:rsidR="00DF28B4" w:rsidRPr="00A808E0" w:rsidRDefault="00DF28B4" w:rsidP="00DF28B4">
      <w:pPr>
        <w:pStyle w:val="GeorgiaText"/>
        <w:numPr>
          <w:ilvl w:val="0"/>
          <w:numId w:val="28"/>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Students requiring assistance in evacuation shall inform their instructor in writing during the first week of class.</w:t>
      </w:r>
    </w:p>
    <w:p w14:paraId="74E97E3A" w14:textId="77777777" w:rsidR="00DF28B4" w:rsidRPr="00A808E0" w:rsidRDefault="00DF28B4" w:rsidP="00DF28B4">
      <w:pPr>
        <w:pStyle w:val="GeorgiaText"/>
        <w:numPr>
          <w:ilvl w:val="0"/>
          <w:numId w:val="28"/>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3C9C66DD" w14:textId="77777777" w:rsidR="00DF28B4" w:rsidRPr="00A808E0" w:rsidRDefault="00DF28B4" w:rsidP="00DF28B4">
      <w:pPr>
        <w:pStyle w:val="GeorgiaText"/>
        <w:numPr>
          <w:ilvl w:val="0"/>
          <w:numId w:val="28"/>
        </w:numPr>
        <w:spacing w:line="240" w:lineRule="auto"/>
        <w:rPr>
          <w:rFonts w:ascii="Times New Roman" w:hAnsi="Times New Roman" w:cs="Times New Roman"/>
          <w:color w:val="auto"/>
          <w:sz w:val="23"/>
          <w:szCs w:val="23"/>
        </w:rPr>
      </w:pPr>
      <w:r w:rsidRPr="00A808E0">
        <w:rPr>
          <w:rFonts w:ascii="Times New Roman" w:hAnsi="Times New Roman" w:cs="Times New Roman"/>
          <w:color w:val="auto"/>
          <w:sz w:val="23"/>
          <w:szCs w:val="23"/>
        </w:rPr>
        <w:t xml:space="preserve">For more information, please visit </w:t>
      </w:r>
      <w:hyperlink r:id="rId36" w:history="1">
        <w:r w:rsidRPr="00A808E0">
          <w:rPr>
            <w:rStyle w:val="Hyperlink"/>
            <w:rFonts w:ascii="Times New Roman" w:hAnsi="Times New Roman" w:cs="Times New Roman"/>
            <w:color w:val="auto"/>
            <w:sz w:val="23"/>
            <w:szCs w:val="23"/>
          </w:rPr>
          <w:t>emergency preparedness</w:t>
        </w:r>
      </w:hyperlink>
      <w:r w:rsidRPr="00A808E0">
        <w:rPr>
          <w:rFonts w:ascii="Times New Roman" w:hAnsi="Times New Roman" w:cs="Times New Roman"/>
          <w:color w:val="auto"/>
          <w:sz w:val="23"/>
          <w:szCs w:val="23"/>
        </w:rPr>
        <w:t>.</w:t>
      </w:r>
    </w:p>
    <w:p w14:paraId="7F9892DE" w14:textId="4D81C45B" w:rsidR="00A02946" w:rsidRPr="00A808E0" w:rsidRDefault="00A02946" w:rsidP="001D7C4C">
      <w:pPr>
        <w:pStyle w:val="GeorgiaText"/>
        <w:spacing w:line="240" w:lineRule="auto"/>
        <w:rPr>
          <w:rFonts w:ascii="Times New Roman" w:hAnsi="Times New Roman" w:cs="Times New Roman"/>
          <w:color w:val="auto"/>
          <w:sz w:val="23"/>
          <w:szCs w:val="23"/>
        </w:rPr>
      </w:pPr>
    </w:p>
    <w:sectPr w:rsidR="00A02946" w:rsidRPr="00A808E0">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610AC" w14:textId="77777777" w:rsidR="00E64751" w:rsidRDefault="00E64751">
      <w:r>
        <w:separator/>
      </w:r>
    </w:p>
  </w:endnote>
  <w:endnote w:type="continuationSeparator" w:id="0">
    <w:p w14:paraId="675E3215" w14:textId="77777777" w:rsidR="00E64751" w:rsidRDefault="00E6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haris SIL">
    <w:altName w:val="Calibri"/>
    <w:panose1 w:val="020B0604020202020204"/>
    <w:charset w:val="4D"/>
    <w:family w:val="auto"/>
    <w:pitch w:val="variable"/>
    <w:sig w:usb0="A00002FF" w:usb1="5200A1FF" w:usb2="02000009"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09867"/>
    </w:sdtPr>
    <w:sdtEndPr>
      <w:rPr>
        <w:rFonts w:ascii="Times New Roman" w:hAnsi="Times New Roman" w:cs="Times New Roman"/>
      </w:rPr>
    </w:sdtEndPr>
    <w:sdtContent>
      <w:p w14:paraId="185DCA12" w14:textId="77777777" w:rsidR="0047358A" w:rsidRDefault="00645E7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12432">
          <w:rPr>
            <w:rFonts w:ascii="Times New Roman" w:hAnsi="Times New Roman" w:cs="Times New Roman"/>
            <w:noProof/>
          </w:rPr>
          <w:t>7</w:t>
        </w:r>
        <w:r>
          <w:rPr>
            <w:rFonts w:ascii="Times New Roman" w:hAnsi="Times New Roman" w:cs="Times New Roman"/>
          </w:rPr>
          <w:fldChar w:fldCharType="end"/>
        </w:r>
      </w:p>
    </w:sdtContent>
  </w:sdt>
  <w:p w14:paraId="611DC71D" w14:textId="77777777" w:rsidR="0047358A" w:rsidRDefault="0047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D992E" w14:textId="77777777" w:rsidR="00E64751" w:rsidRDefault="00E64751">
      <w:r>
        <w:separator/>
      </w:r>
    </w:p>
  </w:footnote>
  <w:footnote w:type="continuationSeparator" w:id="0">
    <w:p w14:paraId="430EE716" w14:textId="77777777" w:rsidR="00E64751" w:rsidRDefault="00E64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6B8303"/>
    <w:multiLevelType w:val="hybridMultilevel"/>
    <w:tmpl w:val="B53C34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FA1FB0"/>
    <w:multiLevelType w:val="hybridMultilevel"/>
    <w:tmpl w:val="945125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21C56"/>
    <w:multiLevelType w:val="multilevel"/>
    <w:tmpl w:val="09721C56"/>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3" w15:restartNumberingAfterBreak="0">
    <w:nsid w:val="0B9E5015"/>
    <w:multiLevelType w:val="hybridMultilevel"/>
    <w:tmpl w:val="130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C7F46"/>
    <w:multiLevelType w:val="multilevel"/>
    <w:tmpl w:val="0C4C7F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77D6C"/>
    <w:multiLevelType w:val="multilevel"/>
    <w:tmpl w:val="14577D6C"/>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6" w15:restartNumberingAfterBreak="0">
    <w:nsid w:val="1D5B5021"/>
    <w:multiLevelType w:val="multilevel"/>
    <w:tmpl w:val="0C4C7F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DF3B82"/>
    <w:multiLevelType w:val="multilevel"/>
    <w:tmpl w:val="20DF3B82"/>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8" w15:restartNumberingAfterBreak="0">
    <w:nsid w:val="25CD5A78"/>
    <w:multiLevelType w:val="multilevel"/>
    <w:tmpl w:val="716466A7"/>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9" w15:restartNumberingAfterBreak="0">
    <w:nsid w:val="26A4257D"/>
    <w:multiLevelType w:val="multilevel"/>
    <w:tmpl w:val="26A4257D"/>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10"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936C0"/>
    <w:multiLevelType w:val="multilevel"/>
    <w:tmpl w:val="716466A7"/>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2FEE0206"/>
    <w:multiLevelType w:val="multilevel"/>
    <w:tmpl w:val="2FEE02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14"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574D0"/>
    <w:multiLevelType w:val="multilevel"/>
    <w:tmpl w:val="585574D0"/>
    <w:lvl w:ilvl="0">
      <w:numFmt w:val="bullet"/>
      <w:lvlText w:val="-"/>
      <w:lvlJc w:val="left"/>
      <w:pPr>
        <w:tabs>
          <w:tab w:val="num" w:pos="360"/>
        </w:tabs>
        <w:ind w:left="360" w:hanging="360"/>
      </w:pPr>
      <w:rPr>
        <w:rFonts w:ascii="Times New Roman" w:eastAsia="SimSun" w:hAnsi="Times New Roman" w:cs="Times New Roman" w:hint="default"/>
      </w:rPr>
    </w:lvl>
    <w:lvl w:ilvl="1">
      <w:start w:val="14"/>
      <w:numFmt w:val="bullet"/>
      <w:lvlText w:val=""/>
      <w:lvlJc w:val="left"/>
      <w:pPr>
        <w:tabs>
          <w:tab w:val="num" w:pos="1080"/>
        </w:tabs>
        <w:ind w:left="1080" w:hanging="360"/>
      </w:pPr>
      <w:rPr>
        <w:rFonts w:ascii="Symbol" w:eastAsia="SimSun"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7145B3"/>
    <w:multiLevelType w:val="multilevel"/>
    <w:tmpl w:val="716466A7"/>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7" w15:restartNumberingAfterBreak="0">
    <w:nsid w:val="5BC86000"/>
    <w:multiLevelType w:val="multilevel"/>
    <w:tmpl w:val="5BC86000"/>
    <w:lvl w:ilvl="0">
      <w:start w:val="1"/>
      <w:numFmt w:val="decimal"/>
      <w:lvlText w:val="%1."/>
      <w:lvlJc w:val="left"/>
      <w:pPr>
        <w:tabs>
          <w:tab w:val="left" w:pos="375"/>
        </w:tabs>
        <w:ind w:left="375" w:hanging="360"/>
      </w:pPr>
    </w:lvl>
    <w:lvl w:ilvl="1">
      <w:start w:val="1"/>
      <w:numFmt w:val="decimal"/>
      <w:lvlText w:val="%2."/>
      <w:lvlJc w:val="left"/>
      <w:pPr>
        <w:tabs>
          <w:tab w:val="left" w:pos="1095"/>
        </w:tabs>
        <w:ind w:left="1095" w:hanging="360"/>
      </w:pPr>
    </w:lvl>
    <w:lvl w:ilvl="2">
      <w:start w:val="1"/>
      <w:numFmt w:val="decimal"/>
      <w:lvlText w:val="%3."/>
      <w:lvlJc w:val="left"/>
      <w:pPr>
        <w:tabs>
          <w:tab w:val="left" w:pos="1815"/>
        </w:tabs>
        <w:ind w:left="1815" w:hanging="360"/>
      </w:pPr>
    </w:lvl>
    <w:lvl w:ilvl="3">
      <w:start w:val="1"/>
      <w:numFmt w:val="decimal"/>
      <w:lvlText w:val="%4."/>
      <w:lvlJc w:val="left"/>
      <w:pPr>
        <w:tabs>
          <w:tab w:val="left" w:pos="2535"/>
        </w:tabs>
        <w:ind w:left="2535" w:hanging="360"/>
      </w:pPr>
    </w:lvl>
    <w:lvl w:ilvl="4">
      <w:start w:val="1"/>
      <w:numFmt w:val="decimal"/>
      <w:lvlText w:val="%5."/>
      <w:lvlJc w:val="left"/>
      <w:pPr>
        <w:tabs>
          <w:tab w:val="left" w:pos="3255"/>
        </w:tabs>
        <w:ind w:left="3255" w:hanging="360"/>
      </w:pPr>
    </w:lvl>
    <w:lvl w:ilvl="5">
      <w:start w:val="1"/>
      <w:numFmt w:val="decimal"/>
      <w:lvlText w:val="%6."/>
      <w:lvlJc w:val="left"/>
      <w:pPr>
        <w:tabs>
          <w:tab w:val="left" w:pos="3975"/>
        </w:tabs>
        <w:ind w:left="3975" w:hanging="360"/>
      </w:pPr>
    </w:lvl>
    <w:lvl w:ilvl="6">
      <w:start w:val="1"/>
      <w:numFmt w:val="decimal"/>
      <w:lvlText w:val="%7."/>
      <w:lvlJc w:val="left"/>
      <w:pPr>
        <w:tabs>
          <w:tab w:val="left" w:pos="4695"/>
        </w:tabs>
        <w:ind w:left="4695" w:hanging="360"/>
      </w:pPr>
    </w:lvl>
    <w:lvl w:ilvl="7">
      <w:start w:val="1"/>
      <w:numFmt w:val="decimal"/>
      <w:lvlText w:val="%8."/>
      <w:lvlJc w:val="left"/>
      <w:pPr>
        <w:tabs>
          <w:tab w:val="left" w:pos="5415"/>
        </w:tabs>
        <w:ind w:left="5415" w:hanging="360"/>
      </w:pPr>
    </w:lvl>
    <w:lvl w:ilvl="8">
      <w:start w:val="1"/>
      <w:numFmt w:val="decimal"/>
      <w:lvlText w:val="%9."/>
      <w:lvlJc w:val="left"/>
      <w:pPr>
        <w:tabs>
          <w:tab w:val="left" w:pos="6135"/>
        </w:tabs>
        <w:ind w:left="6135" w:hanging="360"/>
      </w:pPr>
    </w:lvl>
  </w:abstractNum>
  <w:abstractNum w:abstractNumId="18" w15:restartNumberingAfterBreak="0">
    <w:nsid w:val="5BF74B0D"/>
    <w:multiLevelType w:val="multilevel"/>
    <w:tmpl w:val="5BF74B0D"/>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19"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F2DD7"/>
    <w:multiLevelType w:val="hybridMultilevel"/>
    <w:tmpl w:val="BAC80BC6"/>
    <w:lvl w:ilvl="0" w:tplc="32FC42D0">
      <w:start w:val="2"/>
      <w:numFmt w:val="bullet"/>
      <w:lvlText w:val="-"/>
      <w:lvlJc w:val="left"/>
      <w:pPr>
        <w:ind w:left="820" w:hanging="360"/>
      </w:pPr>
      <w:rPr>
        <w:rFonts w:ascii="Times New Roman" w:eastAsia="Calibri"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6A7309D7"/>
    <w:multiLevelType w:val="multilevel"/>
    <w:tmpl w:val="6A7309D7"/>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22" w15:restartNumberingAfterBreak="0">
    <w:nsid w:val="709E3EBA"/>
    <w:multiLevelType w:val="multilevel"/>
    <w:tmpl w:val="33E8C230"/>
    <w:lvl w:ilvl="0">
      <w:start w:val="1"/>
      <w:numFmt w:val="decimal"/>
      <w:lvlText w:val="%1."/>
      <w:lvlJc w:val="left"/>
      <w:pPr>
        <w:tabs>
          <w:tab w:val="left" w:pos="360"/>
        </w:tabs>
        <w:ind w:left="360" w:hanging="360"/>
      </w:pPr>
      <w:rPr>
        <w:rFonts w:hint="default"/>
        <w:b w:val="0"/>
        <w:bCs/>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23" w15:restartNumberingAfterBreak="0">
    <w:nsid w:val="716466A7"/>
    <w:multiLevelType w:val="multilevel"/>
    <w:tmpl w:val="716466A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1965FCF"/>
    <w:multiLevelType w:val="hybridMultilevel"/>
    <w:tmpl w:val="C9D0DB86"/>
    <w:lvl w:ilvl="0" w:tplc="23060552">
      <w:start w:val="1"/>
      <w:numFmt w:val="decimal"/>
      <w:lvlText w:val="%1."/>
      <w:lvlJc w:val="left"/>
      <w:pPr>
        <w:ind w:left="720" w:hanging="360"/>
      </w:pPr>
    </w:lvl>
    <w:lvl w:ilvl="1" w:tplc="79A67A54">
      <w:start w:val="1"/>
      <w:numFmt w:val="lowerLetter"/>
      <w:lvlText w:val="%2."/>
      <w:lvlJc w:val="left"/>
      <w:pPr>
        <w:ind w:left="1440" w:hanging="360"/>
      </w:pPr>
    </w:lvl>
    <w:lvl w:ilvl="2" w:tplc="696A7DF0">
      <w:start w:val="1"/>
      <w:numFmt w:val="lowerRoman"/>
      <w:lvlText w:val="%3."/>
      <w:lvlJc w:val="right"/>
      <w:pPr>
        <w:ind w:left="2160" w:hanging="180"/>
      </w:pPr>
    </w:lvl>
    <w:lvl w:ilvl="3" w:tplc="F5263646">
      <w:start w:val="1"/>
      <w:numFmt w:val="decimal"/>
      <w:lvlText w:val="%4."/>
      <w:lvlJc w:val="left"/>
      <w:pPr>
        <w:ind w:left="2880" w:hanging="360"/>
      </w:pPr>
    </w:lvl>
    <w:lvl w:ilvl="4" w:tplc="6B68DACE">
      <w:start w:val="1"/>
      <w:numFmt w:val="lowerLetter"/>
      <w:lvlText w:val="%5."/>
      <w:lvlJc w:val="left"/>
      <w:pPr>
        <w:ind w:left="3600" w:hanging="360"/>
      </w:pPr>
    </w:lvl>
    <w:lvl w:ilvl="5" w:tplc="969689F2">
      <w:start w:val="1"/>
      <w:numFmt w:val="lowerRoman"/>
      <w:lvlText w:val="%6."/>
      <w:lvlJc w:val="right"/>
      <w:pPr>
        <w:ind w:left="4320" w:hanging="180"/>
      </w:pPr>
    </w:lvl>
    <w:lvl w:ilvl="6" w:tplc="7B4CB772">
      <w:start w:val="1"/>
      <w:numFmt w:val="decimal"/>
      <w:lvlText w:val="%7."/>
      <w:lvlJc w:val="left"/>
      <w:pPr>
        <w:ind w:left="5040" w:hanging="360"/>
      </w:pPr>
    </w:lvl>
    <w:lvl w:ilvl="7" w:tplc="23E0920A">
      <w:start w:val="1"/>
      <w:numFmt w:val="lowerLetter"/>
      <w:lvlText w:val="%8."/>
      <w:lvlJc w:val="left"/>
      <w:pPr>
        <w:ind w:left="5760" w:hanging="360"/>
      </w:pPr>
    </w:lvl>
    <w:lvl w:ilvl="8" w:tplc="183E5D68">
      <w:start w:val="1"/>
      <w:numFmt w:val="lowerRoman"/>
      <w:lvlText w:val="%9."/>
      <w:lvlJc w:val="right"/>
      <w:pPr>
        <w:ind w:left="6480" w:hanging="180"/>
      </w:pPr>
    </w:lvl>
  </w:abstractNum>
  <w:abstractNum w:abstractNumId="25" w15:restartNumberingAfterBreak="0">
    <w:nsid w:val="740B29A3"/>
    <w:multiLevelType w:val="multilevel"/>
    <w:tmpl w:val="740B2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9D7FF8"/>
    <w:multiLevelType w:val="multilevel"/>
    <w:tmpl w:val="749D7FF8"/>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7"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5484B"/>
    <w:multiLevelType w:val="multilevel"/>
    <w:tmpl w:val="7935484B"/>
    <w:lvl w:ilvl="0">
      <w:start w:val="1"/>
      <w:numFmt w:val="decimal"/>
      <w:lvlText w:val="%1."/>
      <w:lvlJc w:val="left"/>
      <w:pPr>
        <w:tabs>
          <w:tab w:val="left" w:pos="360"/>
        </w:tabs>
        <w:ind w:left="360" w:hanging="360"/>
      </w:pPr>
      <w:rPr>
        <w:rFonts w:hint="default"/>
        <w:b w:val="0"/>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30" w15:restartNumberingAfterBreak="0">
    <w:nsid w:val="7BCC194F"/>
    <w:multiLevelType w:val="multilevel"/>
    <w:tmpl w:val="7BCC194F"/>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787639">
    <w:abstractNumId w:val="30"/>
  </w:num>
  <w:num w:numId="2" w16cid:durableId="1404836984">
    <w:abstractNumId w:val="17"/>
  </w:num>
  <w:num w:numId="3" w16cid:durableId="4536029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107964">
    <w:abstractNumId w:val="12"/>
  </w:num>
  <w:num w:numId="5" w16cid:durableId="119543115">
    <w:abstractNumId w:val="4"/>
  </w:num>
  <w:num w:numId="6" w16cid:durableId="1684552245">
    <w:abstractNumId w:val="23"/>
  </w:num>
  <w:num w:numId="7" w16cid:durableId="290328531">
    <w:abstractNumId w:val="22"/>
  </w:num>
  <w:num w:numId="8" w16cid:durableId="645088887">
    <w:abstractNumId w:val="26"/>
  </w:num>
  <w:num w:numId="9" w16cid:durableId="876089188">
    <w:abstractNumId w:val="9"/>
  </w:num>
  <w:num w:numId="10" w16cid:durableId="1759474417">
    <w:abstractNumId w:val="21"/>
  </w:num>
  <w:num w:numId="11" w16cid:durableId="1322661594">
    <w:abstractNumId w:val="5"/>
  </w:num>
  <w:num w:numId="12" w16cid:durableId="297421538">
    <w:abstractNumId w:val="18"/>
  </w:num>
  <w:num w:numId="13" w16cid:durableId="2125073667">
    <w:abstractNumId w:val="7"/>
  </w:num>
  <w:num w:numId="14" w16cid:durableId="608774977">
    <w:abstractNumId w:val="29"/>
  </w:num>
  <w:num w:numId="15" w16cid:durableId="683439090">
    <w:abstractNumId w:val="2"/>
  </w:num>
  <w:num w:numId="16" w16cid:durableId="208802295">
    <w:abstractNumId w:val="15"/>
  </w:num>
  <w:num w:numId="17" w16cid:durableId="1489781226">
    <w:abstractNumId w:val="6"/>
  </w:num>
  <w:num w:numId="18" w16cid:durableId="739324160">
    <w:abstractNumId w:val="16"/>
  </w:num>
  <w:num w:numId="19" w16cid:durableId="1843661218">
    <w:abstractNumId w:val="11"/>
  </w:num>
  <w:num w:numId="20" w16cid:durableId="1542593947">
    <w:abstractNumId w:val="8"/>
  </w:num>
  <w:num w:numId="21" w16cid:durableId="1184586879">
    <w:abstractNumId w:val="1"/>
  </w:num>
  <w:num w:numId="22" w16cid:durableId="560141538">
    <w:abstractNumId w:val="0"/>
  </w:num>
  <w:num w:numId="23" w16cid:durableId="1763066458">
    <w:abstractNumId w:val="3"/>
  </w:num>
  <w:num w:numId="24" w16cid:durableId="991906369">
    <w:abstractNumId w:val="13"/>
  </w:num>
  <w:num w:numId="25" w16cid:durableId="1754661766">
    <w:abstractNumId w:val="24"/>
  </w:num>
  <w:num w:numId="26" w16cid:durableId="1500123623">
    <w:abstractNumId w:val="20"/>
  </w:num>
  <w:num w:numId="27" w16cid:durableId="191497389">
    <w:abstractNumId w:val="19"/>
  </w:num>
  <w:num w:numId="28" w16cid:durableId="2004430535">
    <w:abstractNumId w:val="31"/>
  </w:num>
  <w:num w:numId="29" w16cid:durableId="690498320">
    <w:abstractNumId w:val="10"/>
  </w:num>
  <w:num w:numId="30" w16cid:durableId="1986427823">
    <w:abstractNumId w:val="28"/>
  </w:num>
  <w:num w:numId="31" w16cid:durableId="666245175">
    <w:abstractNumId w:val="14"/>
  </w:num>
  <w:num w:numId="32" w16cid:durableId="17200141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B6"/>
    <w:rsid w:val="00013924"/>
    <w:rsid w:val="000224ED"/>
    <w:rsid w:val="00023D6C"/>
    <w:rsid w:val="00030293"/>
    <w:rsid w:val="00037ED1"/>
    <w:rsid w:val="00042B74"/>
    <w:rsid w:val="00044292"/>
    <w:rsid w:val="00046BC4"/>
    <w:rsid w:val="000530ED"/>
    <w:rsid w:val="000612BF"/>
    <w:rsid w:val="00064E66"/>
    <w:rsid w:val="00070B7A"/>
    <w:rsid w:val="000715F8"/>
    <w:rsid w:val="00072236"/>
    <w:rsid w:val="000729B1"/>
    <w:rsid w:val="00075969"/>
    <w:rsid w:val="00081C5E"/>
    <w:rsid w:val="00085BAD"/>
    <w:rsid w:val="00085C41"/>
    <w:rsid w:val="00096D07"/>
    <w:rsid w:val="000A5419"/>
    <w:rsid w:val="000A5BE3"/>
    <w:rsid w:val="000A6845"/>
    <w:rsid w:val="000A7E5C"/>
    <w:rsid w:val="000B27D5"/>
    <w:rsid w:val="000C18DA"/>
    <w:rsid w:val="000C1C34"/>
    <w:rsid w:val="000C5DD7"/>
    <w:rsid w:val="000D23EC"/>
    <w:rsid w:val="000D59C5"/>
    <w:rsid w:val="000D7B3F"/>
    <w:rsid w:val="000E4E16"/>
    <w:rsid w:val="0010065E"/>
    <w:rsid w:val="0010104A"/>
    <w:rsid w:val="0010361B"/>
    <w:rsid w:val="00117F25"/>
    <w:rsid w:val="00150083"/>
    <w:rsid w:val="00150861"/>
    <w:rsid w:val="00153E79"/>
    <w:rsid w:val="0016090E"/>
    <w:rsid w:val="00161D07"/>
    <w:rsid w:val="00163A51"/>
    <w:rsid w:val="00166C3C"/>
    <w:rsid w:val="0017007D"/>
    <w:rsid w:val="00172C4B"/>
    <w:rsid w:val="0017526B"/>
    <w:rsid w:val="00182BF2"/>
    <w:rsid w:val="0019653B"/>
    <w:rsid w:val="001A1A38"/>
    <w:rsid w:val="001A3544"/>
    <w:rsid w:val="001A46E7"/>
    <w:rsid w:val="001C03D4"/>
    <w:rsid w:val="001C041A"/>
    <w:rsid w:val="001C516C"/>
    <w:rsid w:val="001D7C4C"/>
    <w:rsid w:val="001E020A"/>
    <w:rsid w:val="001E1369"/>
    <w:rsid w:val="001E5777"/>
    <w:rsid w:val="001F02A3"/>
    <w:rsid w:val="00210838"/>
    <w:rsid w:val="00210BCB"/>
    <w:rsid w:val="002213B6"/>
    <w:rsid w:val="00225125"/>
    <w:rsid w:val="00226B35"/>
    <w:rsid w:val="002320A8"/>
    <w:rsid w:val="002348FF"/>
    <w:rsid w:val="00237F2D"/>
    <w:rsid w:val="00240BDD"/>
    <w:rsid w:val="00243C90"/>
    <w:rsid w:val="002446CF"/>
    <w:rsid w:val="00247AEB"/>
    <w:rsid w:val="0025528D"/>
    <w:rsid w:val="00257147"/>
    <w:rsid w:val="00260108"/>
    <w:rsid w:val="00260F95"/>
    <w:rsid w:val="00263D19"/>
    <w:rsid w:val="00263DEB"/>
    <w:rsid w:val="00264043"/>
    <w:rsid w:val="00265179"/>
    <w:rsid w:val="00266195"/>
    <w:rsid w:val="002662F7"/>
    <w:rsid w:val="0027001E"/>
    <w:rsid w:val="00276127"/>
    <w:rsid w:val="00276EBF"/>
    <w:rsid w:val="002778C1"/>
    <w:rsid w:val="00294036"/>
    <w:rsid w:val="00295061"/>
    <w:rsid w:val="002961F8"/>
    <w:rsid w:val="002A31CB"/>
    <w:rsid w:val="002A3362"/>
    <w:rsid w:val="002C05EE"/>
    <w:rsid w:val="002C36B2"/>
    <w:rsid w:val="002C712E"/>
    <w:rsid w:val="002D1913"/>
    <w:rsid w:val="002D2442"/>
    <w:rsid w:val="002D72A6"/>
    <w:rsid w:val="002E303C"/>
    <w:rsid w:val="002E4223"/>
    <w:rsid w:val="002E513A"/>
    <w:rsid w:val="002E58AA"/>
    <w:rsid w:val="002E65FD"/>
    <w:rsid w:val="002F0BC0"/>
    <w:rsid w:val="002F10F1"/>
    <w:rsid w:val="002F40E8"/>
    <w:rsid w:val="002F4B02"/>
    <w:rsid w:val="00306782"/>
    <w:rsid w:val="00317DBA"/>
    <w:rsid w:val="003248DB"/>
    <w:rsid w:val="00324E8E"/>
    <w:rsid w:val="003252B6"/>
    <w:rsid w:val="00327C8A"/>
    <w:rsid w:val="0033795A"/>
    <w:rsid w:val="00341AA7"/>
    <w:rsid w:val="003500D9"/>
    <w:rsid w:val="003520A7"/>
    <w:rsid w:val="00356756"/>
    <w:rsid w:val="00360AA6"/>
    <w:rsid w:val="00360BE6"/>
    <w:rsid w:val="00374261"/>
    <w:rsid w:val="00374D2D"/>
    <w:rsid w:val="00385B7A"/>
    <w:rsid w:val="003872AB"/>
    <w:rsid w:val="00387E94"/>
    <w:rsid w:val="00387F62"/>
    <w:rsid w:val="003909D0"/>
    <w:rsid w:val="003923F9"/>
    <w:rsid w:val="003A6BCA"/>
    <w:rsid w:val="003B0B36"/>
    <w:rsid w:val="003B1C52"/>
    <w:rsid w:val="003B3616"/>
    <w:rsid w:val="003B4614"/>
    <w:rsid w:val="003B584C"/>
    <w:rsid w:val="003C3769"/>
    <w:rsid w:val="003C3B65"/>
    <w:rsid w:val="003C3C77"/>
    <w:rsid w:val="003C67D1"/>
    <w:rsid w:val="003D2E84"/>
    <w:rsid w:val="003D2FE8"/>
    <w:rsid w:val="003D6C2E"/>
    <w:rsid w:val="003E3086"/>
    <w:rsid w:val="003F6A67"/>
    <w:rsid w:val="00410694"/>
    <w:rsid w:val="00415B4C"/>
    <w:rsid w:val="00417C28"/>
    <w:rsid w:val="0042020E"/>
    <w:rsid w:val="00430543"/>
    <w:rsid w:val="004362E1"/>
    <w:rsid w:val="004510FC"/>
    <w:rsid w:val="00455D95"/>
    <w:rsid w:val="00460762"/>
    <w:rsid w:val="004674AB"/>
    <w:rsid w:val="00471C8E"/>
    <w:rsid w:val="0047358A"/>
    <w:rsid w:val="00474569"/>
    <w:rsid w:val="00475679"/>
    <w:rsid w:val="00481F0D"/>
    <w:rsid w:val="00487277"/>
    <w:rsid w:val="004934AB"/>
    <w:rsid w:val="004A37AA"/>
    <w:rsid w:val="004A5023"/>
    <w:rsid w:val="004B22F5"/>
    <w:rsid w:val="004B4AB1"/>
    <w:rsid w:val="004B4E7D"/>
    <w:rsid w:val="004B55A3"/>
    <w:rsid w:val="004B7E18"/>
    <w:rsid w:val="004E0C2A"/>
    <w:rsid w:val="004E2DE5"/>
    <w:rsid w:val="004F215E"/>
    <w:rsid w:val="004F4908"/>
    <w:rsid w:val="0050699C"/>
    <w:rsid w:val="005236CD"/>
    <w:rsid w:val="005243E0"/>
    <w:rsid w:val="00524D14"/>
    <w:rsid w:val="00525D91"/>
    <w:rsid w:val="00537484"/>
    <w:rsid w:val="00547E04"/>
    <w:rsid w:val="00555FBC"/>
    <w:rsid w:val="005578A0"/>
    <w:rsid w:val="00557FCD"/>
    <w:rsid w:val="00561990"/>
    <w:rsid w:val="00562919"/>
    <w:rsid w:val="00566886"/>
    <w:rsid w:val="00577AD0"/>
    <w:rsid w:val="005857ED"/>
    <w:rsid w:val="00586BF7"/>
    <w:rsid w:val="005922C9"/>
    <w:rsid w:val="00594A44"/>
    <w:rsid w:val="005B3E04"/>
    <w:rsid w:val="005B5977"/>
    <w:rsid w:val="005B6B9E"/>
    <w:rsid w:val="005B73BC"/>
    <w:rsid w:val="005B76C5"/>
    <w:rsid w:val="005C3ADB"/>
    <w:rsid w:val="005D25D2"/>
    <w:rsid w:val="005E090D"/>
    <w:rsid w:val="005E7850"/>
    <w:rsid w:val="005F0C07"/>
    <w:rsid w:val="005F2F9F"/>
    <w:rsid w:val="005F5367"/>
    <w:rsid w:val="005F7DC7"/>
    <w:rsid w:val="006004CE"/>
    <w:rsid w:val="00611E63"/>
    <w:rsid w:val="00616BF8"/>
    <w:rsid w:val="00617A6E"/>
    <w:rsid w:val="006211CF"/>
    <w:rsid w:val="00621352"/>
    <w:rsid w:val="006214FA"/>
    <w:rsid w:val="0062176D"/>
    <w:rsid w:val="0063121F"/>
    <w:rsid w:val="00645E77"/>
    <w:rsid w:val="00651F27"/>
    <w:rsid w:val="00654971"/>
    <w:rsid w:val="00656F73"/>
    <w:rsid w:val="00657A6E"/>
    <w:rsid w:val="0066213E"/>
    <w:rsid w:val="00663C1D"/>
    <w:rsid w:val="00665683"/>
    <w:rsid w:val="0067784A"/>
    <w:rsid w:val="00685A39"/>
    <w:rsid w:val="006971DE"/>
    <w:rsid w:val="006A086C"/>
    <w:rsid w:val="006A75C9"/>
    <w:rsid w:val="006B170B"/>
    <w:rsid w:val="006B2A20"/>
    <w:rsid w:val="006B2BB0"/>
    <w:rsid w:val="006B3818"/>
    <w:rsid w:val="006B47D0"/>
    <w:rsid w:val="006B7994"/>
    <w:rsid w:val="006C090F"/>
    <w:rsid w:val="006D08E4"/>
    <w:rsid w:val="006D144A"/>
    <w:rsid w:val="006D36F0"/>
    <w:rsid w:val="006D458F"/>
    <w:rsid w:val="006E3DA6"/>
    <w:rsid w:val="006F53F0"/>
    <w:rsid w:val="00705EA9"/>
    <w:rsid w:val="007107B8"/>
    <w:rsid w:val="0071270A"/>
    <w:rsid w:val="007234BD"/>
    <w:rsid w:val="00725BE9"/>
    <w:rsid w:val="00725D4B"/>
    <w:rsid w:val="00734065"/>
    <w:rsid w:val="00743459"/>
    <w:rsid w:val="00745660"/>
    <w:rsid w:val="0074596A"/>
    <w:rsid w:val="00745977"/>
    <w:rsid w:val="007606D9"/>
    <w:rsid w:val="00761180"/>
    <w:rsid w:val="00776E2A"/>
    <w:rsid w:val="007832B3"/>
    <w:rsid w:val="00783BFA"/>
    <w:rsid w:val="00787E25"/>
    <w:rsid w:val="0079143F"/>
    <w:rsid w:val="00793EF4"/>
    <w:rsid w:val="007967F3"/>
    <w:rsid w:val="007A2914"/>
    <w:rsid w:val="007A5E62"/>
    <w:rsid w:val="007A5EB4"/>
    <w:rsid w:val="007B2637"/>
    <w:rsid w:val="007B3500"/>
    <w:rsid w:val="007B5710"/>
    <w:rsid w:val="007B7F33"/>
    <w:rsid w:val="007C03D8"/>
    <w:rsid w:val="007C0B13"/>
    <w:rsid w:val="007C452B"/>
    <w:rsid w:val="007C551D"/>
    <w:rsid w:val="007D49FA"/>
    <w:rsid w:val="007F12C2"/>
    <w:rsid w:val="007F2140"/>
    <w:rsid w:val="007F2CA2"/>
    <w:rsid w:val="00801F2A"/>
    <w:rsid w:val="00802599"/>
    <w:rsid w:val="0081072C"/>
    <w:rsid w:val="00827634"/>
    <w:rsid w:val="00840489"/>
    <w:rsid w:val="00842134"/>
    <w:rsid w:val="00845EA6"/>
    <w:rsid w:val="00846A99"/>
    <w:rsid w:val="00851D9E"/>
    <w:rsid w:val="008567D4"/>
    <w:rsid w:val="008610C8"/>
    <w:rsid w:val="00861147"/>
    <w:rsid w:val="00861FBC"/>
    <w:rsid w:val="00884D98"/>
    <w:rsid w:val="008A4216"/>
    <w:rsid w:val="008A67BB"/>
    <w:rsid w:val="008C57FB"/>
    <w:rsid w:val="008C79F8"/>
    <w:rsid w:val="008E2272"/>
    <w:rsid w:val="008F2CE2"/>
    <w:rsid w:val="008F6F99"/>
    <w:rsid w:val="008F7FC4"/>
    <w:rsid w:val="00902BC3"/>
    <w:rsid w:val="00904796"/>
    <w:rsid w:val="009055CF"/>
    <w:rsid w:val="00905AB6"/>
    <w:rsid w:val="00907B45"/>
    <w:rsid w:val="00911CFD"/>
    <w:rsid w:val="00922A54"/>
    <w:rsid w:val="00927665"/>
    <w:rsid w:val="00940DBE"/>
    <w:rsid w:val="0094367C"/>
    <w:rsid w:val="00944189"/>
    <w:rsid w:val="00950CA0"/>
    <w:rsid w:val="00950CDF"/>
    <w:rsid w:val="009761EB"/>
    <w:rsid w:val="00982B3C"/>
    <w:rsid w:val="0099781B"/>
    <w:rsid w:val="009A0618"/>
    <w:rsid w:val="009A31C5"/>
    <w:rsid w:val="009B3828"/>
    <w:rsid w:val="009B3EBA"/>
    <w:rsid w:val="009C272A"/>
    <w:rsid w:val="009C46DC"/>
    <w:rsid w:val="009C6401"/>
    <w:rsid w:val="009D4609"/>
    <w:rsid w:val="009D5D39"/>
    <w:rsid w:val="009D71A5"/>
    <w:rsid w:val="009E0F6A"/>
    <w:rsid w:val="009E3ACC"/>
    <w:rsid w:val="009E4BA4"/>
    <w:rsid w:val="009F26D3"/>
    <w:rsid w:val="009F61D6"/>
    <w:rsid w:val="00A01764"/>
    <w:rsid w:val="00A02946"/>
    <w:rsid w:val="00A102B6"/>
    <w:rsid w:val="00A12432"/>
    <w:rsid w:val="00A14FC6"/>
    <w:rsid w:val="00A16239"/>
    <w:rsid w:val="00A23015"/>
    <w:rsid w:val="00A24D42"/>
    <w:rsid w:val="00A25A1D"/>
    <w:rsid w:val="00A25E12"/>
    <w:rsid w:val="00A35461"/>
    <w:rsid w:val="00A37FA9"/>
    <w:rsid w:val="00A50FEA"/>
    <w:rsid w:val="00A63E38"/>
    <w:rsid w:val="00A65BC2"/>
    <w:rsid w:val="00A74630"/>
    <w:rsid w:val="00A75195"/>
    <w:rsid w:val="00A808E0"/>
    <w:rsid w:val="00A81CEE"/>
    <w:rsid w:val="00A86F6E"/>
    <w:rsid w:val="00A87110"/>
    <w:rsid w:val="00A90961"/>
    <w:rsid w:val="00A928AC"/>
    <w:rsid w:val="00A92ECC"/>
    <w:rsid w:val="00AA297B"/>
    <w:rsid w:val="00AA5573"/>
    <w:rsid w:val="00AB0720"/>
    <w:rsid w:val="00AB30F3"/>
    <w:rsid w:val="00AB5140"/>
    <w:rsid w:val="00AB51B0"/>
    <w:rsid w:val="00AC3F42"/>
    <w:rsid w:val="00AD5C96"/>
    <w:rsid w:val="00AE4A80"/>
    <w:rsid w:val="00AF2C29"/>
    <w:rsid w:val="00B03FAF"/>
    <w:rsid w:val="00B04DB7"/>
    <w:rsid w:val="00B04F07"/>
    <w:rsid w:val="00B05426"/>
    <w:rsid w:val="00B06C25"/>
    <w:rsid w:val="00B107BA"/>
    <w:rsid w:val="00B126EF"/>
    <w:rsid w:val="00B251B5"/>
    <w:rsid w:val="00B27C9D"/>
    <w:rsid w:val="00B3403D"/>
    <w:rsid w:val="00B35D61"/>
    <w:rsid w:val="00B41A45"/>
    <w:rsid w:val="00B41F03"/>
    <w:rsid w:val="00B42533"/>
    <w:rsid w:val="00B44FF7"/>
    <w:rsid w:val="00B465D2"/>
    <w:rsid w:val="00B51F2A"/>
    <w:rsid w:val="00B5274F"/>
    <w:rsid w:val="00B56F40"/>
    <w:rsid w:val="00B63A2F"/>
    <w:rsid w:val="00B63BD4"/>
    <w:rsid w:val="00B65837"/>
    <w:rsid w:val="00B66131"/>
    <w:rsid w:val="00B67261"/>
    <w:rsid w:val="00B77738"/>
    <w:rsid w:val="00B84BC2"/>
    <w:rsid w:val="00B914B2"/>
    <w:rsid w:val="00B93FAA"/>
    <w:rsid w:val="00BA6FA1"/>
    <w:rsid w:val="00BA7F0C"/>
    <w:rsid w:val="00BC3481"/>
    <w:rsid w:val="00BC4C40"/>
    <w:rsid w:val="00BC7838"/>
    <w:rsid w:val="00BD1007"/>
    <w:rsid w:val="00BD194B"/>
    <w:rsid w:val="00BD3836"/>
    <w:rsid w:val="00BE57F3"/>
    <w:rsid w:val="00BF16C3"/>
    <w:rsid w:val="00BF42AC"/>
    <w:rsid w:val="00BF4865"/>
    <w:rsid w:val="00BF5E63"/>
    <w:rsid w:val="00C00A3A"/>
    <w:rsid w:val="00C0795F"/>
    <w:rsid w:val="00C07B70"/>
    <w:rsid w:val="00C21752"/>
    <w:rsid w:val="00C22F51"/>
    <w:rsid w:val="00C34BB7"/>
    <w:rsid w:val="00C36165"/>
    <w:rsid w:val="00C5254D"/>
    <w:rsid w:val="00C538BA"/>
    <w:rsid w:val="00C544FB"/>
    <w:rsid w:val="00C61641"/>
    <w:rsid w:val="00C72541"/>
    <w:rsid w:val="00C72FE2"/>
    <w:rsid w:val="00C74C4F"/>
    <w:rsid w:val="00C76041"/>
    <w:rsid w:val="00C76EB3"/>
    <w:rsid w:val="00C777B0"/>
    <w:rsid w:val="00C779D3"/>
    <w:rsid w:val="00C806E0"/>
    <w:rsid w:val="00C80D6D"/>
    <w:rsid w:val="00C92DE9"/>
    <w:rsid w:val="00C93886"/>
    <w:rsid w:val="00CB08CB"/>
    <w:rsid w:val="00CB36DA"/>
    <w:rsid w:val="00CB62F4"/>
    <w:rsid w:val="00CB6456"/>
    <w:rsid w:val="00CC0F6E"/>
    <w:rsid w:val="00CD03C7"/>
    <w:rsid w:val="00CD0EF1"/>
    <w:rsid w:val="00CD1E16"/>
    <w:rsid w:val="00CE2DA1"/>
    <w:rsid w:val="00CE6657"/>
    <w:rsid w:val="00CE701B"/>
    <w:rsid w:val="00CF2C89"/>
    <w:rsid w:val="00CF7859"/>
    <w:rsid w:val="00D069AE"/>
    <w:rsid w:val="00D06BEA"/>
    <w:rsid w:val="00D131E3"/>
    <w:rsid w:val="00D1477A"/>
    <w:rsid w:val="00D150C1"/>
    <w:rsid w:val="00D16C8C"/>
    <w:rsid w:val="00D235CD"/>
    <w:rsid w:val="00D32BDB"/>
    <w:rsid w:val="00D4089B"/>
    <w:rsid w:val="00D42C3E"/>
    <w:rsid w:val="00D44DEE"/>
    <w:rsid w:val="00D469BE"/>
    <w:rsid w:val="00D50CFF"/>
    <w:rsid w:val="00D51C0A"/>
    <w:rsid w:val="00D52A71"/>
    <w:rsid w:val="00D56B7E"/>
    <w:rsid w:val="00D60DA8"/>
    <w:rsid w:val="00D64813"/>
    <w:rsid w:val="00D64EBE"/>
    <w:rsid w:val="00D678A5"/>
    <w:rsid w:val="00D7251D"/>
    <w:rsid w:val="00D73C4C"/>
    <w:rsid w:val="00D86208"/>
    <w:rsid w:val="00D953A8"/>
    <w:rsid w:val="00DA42A3"/>
    <w:rsid w:val="00DB36F0"/>
    <w:rsid w:val="00DB6329"/>
    <w:rsid w:val="00DC46CD"/>
    <w:rsid w:val="00DC641E"/>
    <w:rsid w:val="00DD03DB"/>
    <w:rsid w:val="00DD0DCE"/>
    <w:rsid w:val="00DD49F7"/>
    <w:rsid w:val="00DE2E9F"/>
    <w:rsid w:val="00DE4B2E"/>
    <w:rsid w:val="00DE5DC4"/>
    <w:rsid w:val="00DF28B4"/>
    <w:rsid w:val="00DF3967"/>
    <w:rsid w:val="00DF5002"/>
    <w:rsid w:val="00E03139"/>
    <w:rsid w:val="00E05583"/>
    <w:rsid w:val="00E0591D"/>
    <w:rsid w:val="00E05993"/>
    <w:rsid w:val="00E16FDE"/>
    <w:rsid w:val="00E17470"/>
    <w:rsid w:val="00E23410"/>
    <w:rsid w:val="00E24745"/>
    <w:rsid w:val="00E261B6"/>
    <w:rsid w:val="00E3523C"/>
    <w:rsid w:val="00E36E4C"/>
    <w:rsid w:val="00E40D13"/>
    <w:rsid w:val="00E41EFB"/>
    <w:rsid w:val="00E42A91"/>
    <w:rsid w:val="00E46ACD"/>
    <w:rsid w:val="00E53C37"/>
    <w:rsid w:val="00E54140"/>
    <w:rsid w:val="00E57C18"/>
    <w:rsid w:val="00E64751"/>
    <w:rsid w:val="00E662CF"/>
    <w:rsid w:val="00E77C2A"/>
    <w:rsid w:val="00E8481B"/>
    <w:rsid w:val="00E92B2C"/>
    <w:rsid w:val="00EA1461"/>
    <w:rsid w:val="00EA2722"/>
    <w:rsid w:val="00EC5986"/>
    <w:rsid w:val="00ED7BFF"/>
    <w:rsid w:val="00EF1D21"/>
    <w:rsid w:val="00EF21B1"/>
    <w:rsid w:val="00EF240E"/>
    <w:rsid w:val="00EF38E8"/>
    <w:rsid w:val="00EF4388"/>
    <w:rsid w:val="00EF4411"/>
    <w:rsid w:val="00EF54CB"/>
    <w:rsid w:val="00EF6FD1"/>
    <w:rsid w:val="00F023B4"/>
    <w:rsid w:val="00F03BCD"/>
    <w:rsid w:val="00F04388"/>
    <w:rsid w:val="00F0662D"/>
    <w:rsid w:val="00F07C63"/>
    <w:rsid w:val="00F12110"/>
    <w:rsid w:val="00F16578"/>
    <w:rsid w:val="00F16C57"/>
    <w:rsid w:val="00F20A6D"/>
    <w:rsid w:val="00F4046A"/>
    <w:rsid w:val="00F46CFA"/>
    <w:rsid w:val="00F51AA9"/>
    <w:rsid w:val="00F542CA"/>
    <w:rsid w:val="00F73F0C"/>
    <w:rsid w:val="00F83DA8"/>
    <w:rsid w:val="00F87CB8"/>
    <w:rsid w:val="00F9771C"/>
    <w:rsid w:val="00FA06AF"/>
    <w:rsid w:val="00FA3143"/>
    <w:rsid w:val="00FE38F9"/>
    <w:rsid w:val="00FE4D7F"/>
    <w:rsid w:val="00FE625F"/>
    <w:rsid w:val="00FF1E18"/>
    <w:rsid w:val="00FF6E5C"/>
    <w:rsid w:val="01AA5BC8"/>
    <w:rsid w:val="020C3190"/>
    <w:rsid w:val="02AE0C74"/>
    <w:rsid w:val="032C1BF9"/>
    <w:rsid w:val="03EC6B48"/>
    <w:rsid w:val="068511E8"/>
    <w:rsid w:val="06A10E40"/>
    <w:rsid w:val="09AA188C"/>
    <w:rsid w:val="0D9B1E17"/>
    <w:rsid w:val="0EBF0442"/>
    <w:rsid w:val="1068795A"/>
    <w:rsid w:val="10CD3F5A"/>
    <w:rsid w:val="11D62ACE"/>
    <w:rsid w:val="12994E6F"/>
    <w:rsid w:val="146B00F5"/>
    <w:rsid w:val="166406AD"/>
    <w:rsid w:val="192B4777"/>
    <w:rsid w:val="1B84179C"/>
    <w:rsid w:val="1BF91EEE"/>
    <w:rsid w:val="1D291F6B"/>
    <w:rsid w:val="245009F6"/>
    <w:rsid w:val="255B3F07"/>
    <w:rsid w:val="29C343BD"/>
    <w:rsid w:val="2BA70A7A"/>
    <w:rsid w:val="2C07515A"/>
    <w:rsid w:val="2C3F71CD"/>
    <w:rsid w:val="2CCF5E1B"/>
    <w:rsid w:val="30D1792F"/>
    <w:rsid w:val="33B72B8F"/>
    <w:rsid w:val="36EF3D22"/>
    <w:rsid w:val="38527CC0"/>
    <w:rsid w:val="39766D09"/>
    <w:rsid w:val="3DF71517"/>
    <w:rsid w:val="3EBD0377"/>
    <w:rsid w:val="3F4E566E"/>
    <w:rsid w:val="42A37392"/>
    <w:rsid w:val="444C2BF5"/>
    <w:rsid w:val="44DE1D30"/>
    <w:rsid w:val="45D01AEA"/>
    <w:rsid w:val="49FC3D30"/>
    <w:rsid w:val="4A6E6B1A"/>
    <w:rsid w:val="4ACF142A"/>
    <w:rsid w:val="54B120E5"/>
    <w:rsid w:val="5A9C310F"/>
    <w:rsid w:val="5DF85760"/>
    <w:rsid w:val="60F60D98"/>
    <w:rsid w:val="61320D9E"/>
    <w:rsid w:val="6920130A"/>
    <w:rsid w:val="6D416C0C"/>
    <w:rsid w:val="70514F83"/>
    <w:rsid w:val="7ABD6985"/>
    <w:rsid w:val="7C224A4D"/>
    <w:rsid w:val="7F41469A"/>
    <w:rsid w:val="7FCE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1D88"/>
  <w15:docId w15:val="{7464B9CD-B78A-E144-85AE-B6DCC86E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DF28B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F2C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Theme="minorEastAsia" w:hAnsi="Tahoma" w:cs="Tahoma"/>
      <w:sz w:val="16"/>
      <w:szCs w:val="16"/>
      <w:lang w:eastAsia="en-US"/>
    </w:rPr>
  </w:style>
  <w:style w:type="paragraph" w:styleId="CommentText">
    <w:name w:val="annotation text"/>
    <w:basedOn w:val="Normal"/>
    <w:link w:val="CommentTextChar"/>
    <w:uiPriority w:val="99"/>
    <w:unhideWhenUsed/>
    <w:qFormat/>
    <w:pPr>
      <w:spacing w:after="200"/>
    </w:pPr>
    <w:rPr>
      <w:rFonts w:asciiTheme="minorHAnsi" w:eastAsiaTheme="minorEastAsia"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Theme="minorHAnsi" w:eastAsiaTheme="minorEastAsia" w:hAnsiTheme="minorHAnsi" w:cstheme="minorBidi"/>
      <w:sz w:val="22"/>
      <w:szCs w:val="22"/>
      <w:lang w:eastAsia="en-US"/>
    </w:rPr>
  </w:style>
  <w:style w:type="paragraph" w:styleId="Header">
    <w:name w:val="header"/>
    <w:basedOn w:val="Normal"/>
    <w:link w:val="HeaderChar"/>
    <w:uiPriority w:val="99"/>
    <w:unhideWhenUsed/>
    <w:qFormat/>
    <w:pPr>
      <w:tabs>
        <w:tab w:val="center" w:pos="4680"/>
        <w:tab w:val="right" w:pos="9360"/>
      </w:tabs>
    </w:pPr>
    <w:rPr>
      <w:rFonts w:asciiTheme="minorHAnsi" w:eastAsiaTheme="minorEastAsia" w:hAnsiTheme="minorHAnsi" w:cstheme="minorBidi"/>
      <w:sz w:val="22"/>
      <w:szCs w:val="22"/>
      <w:lang w:eastAsia="en-US"/>
    </w:rPr>
  </w:style>
  <w:style w:type="paragraph" w:styleId="NormalWeb">
    <w:name w:val="Normal (Web)"/>
    <w:basedOn w:val="Normal"/>
    <w:uiPriority w:val="99"/>
    <w:unhideWhenUsed/>
    <w:qFormat/>
    <w:pPr>
      <w:spacing w:before="100" w:beforeAutospacing="1" w:after="100" w:afterAutospacing="1"/>
    </w:pPr>
  </w:style>
  <w:style w:type="character" w:styleId="CommentReference">
    <w:name w:val="annotation reference"/>
    <w:basedOn w:val="DefaultParagraphFont"/>
    <w:uiPriority w:val="99"/>
    <w:unhideWhenUsed/>
    <w:qFormat/>
    <w:rPr>
      <w:sz w:val="16"/>
      <w:szCs w:val="16"/>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screenreader-only">
    <w:name w:val="screenreader-only"/>
    <w:basedOn w:val="DefaultParagraphFont"/>
    <w:qFormat/>
  </w:style>
  <w:style w:type="character" w:customStyle="1" w:styleId="apple-converted-space">
    <w:name w:val="apple-converted-space"/>
    <w:basedOn w:val="DefaultParagraphFont"/>
    <w:qFormat/>
  </w:style>
  <w:style w:type="character" w:customStyle="1" w:styleId="instructurefilelinkholder">
    <w:name w:val="instructure_file_link_holder"/>
    <w:basedOn w:val="DefaultParagraphFont"/>
    <w:qFormat/>
  </w:style>
  <w:style w:type="character" w:customStyle="1" w:styleId="instructurescribdfileholder">
    <w:name w:val="instructure_scribd_file_holder"/>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1"/>
    <w:qFormat/>
    <w:rsid w:val="007C0B13"/>
    <w:pPr>
      <w:spacing w:after="200" w:line="276" w:lineRule="auto"/>
      <w:ind w:left="720"/>
      <w:contextualSpacing/>
    </w:pPr>
    <w:rPr>
      <w:rFonts w:asciiTheme="minorHAnsi" w:eastAsiaTheme="minorEastAsia" w:hAnsiTheme="minorHAnsi" w:cstheme="minorBidi"/>
      <w:sz w:val="22"/>
      <w:szCs w:val="22"/>
      <w:lang w:eastAsia="en-US"/>
    </w:rPr>
  </w:style>
  <w:style w:type="paragraph" w:styleId="Revision">
    <w:name w:val="Revision"/>
    <w:hidden/>
    <w:uiPriority w:val="99"/>
    <w:semiHidden/>
    <w:rsid w:val="00FE625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F7FC4"/>
    <w:rPr>
      <w:color w:val="605E5C"/>
      <w:shd w:val="clear" w:color="auto" w:fill="E1DFDD"/>
    </w:rPr>
  </w:style>
  <w:style w:type="paragraph" w:customStyle="1" w:styleId="Default">
    <w:name w:val="Default"/>
    <w:rsid w:val="00A0294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CF2C89"/>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uiPriority w:val="1"/>
    <w:qFormat/>
    <w:rsid w:val="00CF2C89"/>
    <w:pPr>
      <w:widowControl w:val="0"/>
      <w:ind w:left="460"/>
    </w:pPr>
    <w:rPr>
      <w:rFonts w:ascii="Calibri" w:eastAsia="Calibri" w:hAnsi="Calibri" w:cstheme="minorBidi"/>
      <w:sz w:val="22"/>
      <w:szCs w:val="22"/>
      <w:lang w:eastAsia="en-US"/>
    </w:rPr>
  </w:style>
  <w:style w:type="character" w:customStyle="1" w:styleId="BodyTextChar">
    <w:name w:val="Body Text Char"/>
    <w:basedOn w:val="DefaultParagraphFont"/>
    <w:link w:val="BodyText"/>
    <w:uiPriority w:val="1"/>
    <w:rsid w:val="00CF2C89"/>
    <w:rPr>
      <w:rFonts w:ascii="Calibri" w:eastAsia="Calibri" w:hAnsi="Calibri"/>
      <w:sz w:val="22"/>
      <w:szCs w:val="22"/>
      <w:lang w:eastAsia="en-US"/>
    </w:rPr>
  </w:style>
  <w:style w:type="paragraph" w:customStyle="1" w:styleId="GeorgiaText">
    <w:name w:val="Georgia Text"/>
    <w:basedOn w:val="Normal"/>
    <w:qFormat/>
    <w:rsid w:val="00DF28B4"/>
    <w:pPr>
      <w:spacing w:line="360" w:lineRule="auto"/>
    </w:pPr>
    <w:rPr>
      <w:rFonts w:ascii="Georgia" w:eastAsiaTheme="minorHAnsi" w:hAnsi="Georgia" w:cs="Charis SIL"/>
      <w:color w:val="333F48"/>
      <w:sz w:val="20"/>
      <w:lang w:eastAsia="en-US"/>
    </w:rPr>
  </w:style>
  <w:style w:type="character" w:customStyle="1" w:styleId="Heading3Char">
    <w:name w:val="Heading 3 Char"/>
    <w:basedOn w:val="DefaultParagraphFont"/>
    <w:link w:val="Heading3"/>
    <w:uiPriority w:val="9"/>
    <w:semiHidden/>
    <w:rsid w:val="00DF28B4"/>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DF28B4"/>
  </w:style>
  <w:style w:type="character" w:styleId="Strong">
    <w:name w:val="Strong"/>
    <w:basedOn w:val="DefaultParagraphFont"/>
    <w:uiPriority w:val="22"/>
    <w:qFormat/>
    <w:rsid w:val="00845EA6"/>
    <w:rPr>
      <w:b/>
      <w:bCs/>
    </w:rPr>
  </w:style>
  <w:style w:type="character" w:customStyle="1" w:styleId="gmail-apple-converted-space">
    <w:name w:val="gmail-apple-converted-space"/>
    <w:basedOn w:val="DefaultParagraphFont"/>
    <w:rsid w:val="0074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213">
      <w:bodyDiv w:val="1"/>
      <w:marLeft w:val="0"/>
      <w:marRight w:val="0"/>
      <w:marTop w:val="0"/>
      <w:marBottom w:val="0"/>
      <w:divBdr>
        <w:top w:val="none" w:sz="0" w:space="0" w:color="auto"/>
        <w:left w:val="none" w:sz="0" w:space="0" w:color="auto"/>
        <w:bottom w:val="none" w:sz="0" w:space="0" w:color="auto"/>
        <w:right w:val="none" w:sz="0" w:space="0" w:color="auto"/>
      </w:divBdr>
      <w:divsChild>
        <w:div w:id="751505866">
          <w:marLeft w:val="480"/>
          <w:marRight w:val="0"/>
          <w:marTop w:val="0"/>
          <w:marBottom w:val="0"/>
          <w:divBdr>
            <w:top w:val="none" w:sz="0" w:space="0" w:color="auto"/>
            <w:left w:val="none" w:sz="0" w:space="0" w:color="auto"/>
            <w:bottom w:val="none" w:sz="0" w:space="0" w:color="auto"/>
            <w:right w:val="none" w:sz="0" w:space="0" w:color="auto"/>
          </w:divBdr>
          <w:divsChild>
            <w:div w:id="17533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9116">
      <w:bodyDiv w:val="1"/>
      <w:marLeft w:val="0"/>
      <w:marRight w:val="0"/>
      <w:marTop w:val="0"/>
      <w:marBottom w:val="0"/>
      <w:divBdr>
        <w:top w:val="none" w:sz="0" w:space="0" w:color="auto"/>
        <w:left w:val="none" w:sz="0" w:space="0" w:color="auto"/>
        <w:bottom w:val="none" w:sz="0" w:space="0" w:color="auto"/>
        <w:right w:val="none" w:sz="0" w:space="0" w:color="auto"/>
      </w:divBdr>
      <w:divsChild>
        <w:div w:id="898397506">
          <w:marLeft w:val="480"/>
          <w:marRight w:val="0"/>
          <w:marTop w:val="0"/>
          <w:marBottom w:val="0"/>
          <w:divBdr>
            <w:top w:val="none" w:sz="0" w:space="0" w:color="auto"/>
            <w:left w:val="none" w:sz="0" w:space="0" w:color="auto"/>
            <w:bottom w:val="none" w:sz="0" w:space="0" w:color="auto"/>
            <w:right w:val="none" w:sz="0" w:space="0" w:color="auto"/>
          </w:divBdr>
          <w:divsChild>
            <w:div w:id="7371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5917">
      <w:bodyDiv w:val="1"/>
      <w:marLeft w:val="0"/>
      <w:marRight w:val="0"/>
      <w:marTop w:val="0"/>
      <w:marBottom w:val="0"/>
      <w:divBdr>
        <w:top w:val="none" w:sz="0" w:space="0" w:color="auto"/>
        <w:left w:val="none" w:sz="0" w:space="0" w:color="auto"/>
        <w:bottom w:val="none" w:sz="0" w:space="0" w:color="auto"/>
        <w:right w:val="none" w:sz="0" w:space="0" w:color="auto"/>
      </w:divBdr>
    </w:div>
    <w:div w:id="412973470">
      <w:bodyDiv w:val="1"/>
      <w:marLeft w:val="0"/>
      <w:marRight w:val="0"/>
      <w:marTop w:val="0"/>
      <w:marBottom w:val="0"/>
      <w:divBdr>
        <w:top w:val="none" w:sz="0" w:space="0" w:color="auto"/>
        <w:left w:val="none" w:sz="0" w:space="0" w:color="auto"/>
        <w:bottom w:val="none" w:sz="0" w:space="0" w:color="auto"/>
        <w:right w:val="none" w:sz="0" w:space="0" w:color="auto"/>
      </w:divBdr>
      <w:divsChild>
        <w:div w:id="1115901558">
          <w:marLeft w:val="480"/>
          <w:marRight w:val="0"/>
          <w:marTop w:val="0"/>
          <w:marBottom w:val="0"/>
          <w:divBdr>
            <w:top w:val="none" w:sz="0" w:space="0" w:color="auto"/>
            <w:left w:val="none" w:sz="0" w:space="0" w:color="auto"/>
            <w:bottom w:val="none" w:sz="0" w:space="0" w:color="auto"/>
            <w:right w:val="none" w:sz="0" w:space="0" w:color="auto"/>
          </w:divBdr>
          <w:divsChild>
            <w:div w:id="8509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295">
      <w:bodyDiv w:val="1"/>
      <w:marLeft w:val="0"/>
      <w:marRight w:val="0"/>
      <w:marTop w:val="0"/>
      <w:marBottom w:val="0"/>
      <w:divBdr>
        <w:top w:val="none" w:sz="0" w:space="0" w:color="auto"/>
        <w:left w:val="none" w:sz="0" w:space="0" w:color="auto"/>
        <w:bottom w:val="none" w:sz="0" w:space="0" w:color="auto"/>
        <w:right w:val="none" w:sz="0" w:space="0" w:color="auto"/>
      </w:divBdr>
      <w:divsChild>
        <w:div w:id="1291939134">
          <w:marLeft w:val="480"/>
          <w:marRight w:val="0"/>
          <w:marTop w:val="0"/>
          <w:marBottom w:val="0"/>
          <w:divBdr>
            <w:top w:val="none" w:sz="0" w:space="0" w:color="auto"/>
            <w:left w:val="none" w:sz="0" w:space="0" w:color="auto"/>
            <w:bottom w:val="none" w:sz="0" w:space="0" w:color="auto"/>
            <w:right w:val="none" w:sz="0" w:space="0" w:color="auto"/>
          </w:divBdr>
          <w:divsChild>
            <w:div w:id="6729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7600">
      <w:bodyDiv w:val="1"/>
      <w:marLeft w:val="0"/>
      <w:marRight w:val="0"/>
      <w:marTop w:val="0"/>
      <w:marBottom w:val="0"/>
      <w:divBdr>
        <w:top w:val="none" w:sz="0" w:space="0" w:color="auto"/>
        <w:left w:val="none" w:sz="0" w:space="0" w:color="auto"/>
        <w:bottom w:val="none" w:sz="0" w:space="0" w:color="auto"/>
        <w:right w:val="none" w:sz="0" w:space="0" w:color="auto"/>
      </w:divBdr>
    </w:div>
    <w:div w:id="525607273">
      <w:bodyDiv w:val="1"/>
      <w:marLeft w:val="0"/>
      <w:marRight w:val="0"/>
      <w:marTop w:val="0"/>
      <w:marBottom w:val="0"/>
      <w:divBdr>
        <w:top w:val="none" w:sz="0" w:space="0" w:color="auto"/>
        <w:left w:val="none" w:sz="0" w:space="0" w:color="auto"/>
        <w:bottom w:val="none" w:sz="0" w:space="0" w:color="auto"/>
        <w:right w:val="none" w:sz="0" w:space="0" w:color="auto"/>
      </w:divBdr>
    </w:div>
    <w:div w:id="568073883">
      <w:bodyDiv w:val="1"/>
      <w:marLeft w:val="0"/>
      <w:marRight w:val="0"/>
      <w:marTop w:val="0"/>
      <w:marBottom w:val="0"/>
      <w:divBdr>
        <w:top w:val="none" w:sz="0" w:space="0" w:color="auto"/>
        <w:left w:val="none" w:sz="0" w:space="0" w:color="auto"/>
        <w:bottom w:val="none" w:sz="0" w:space="0" w:color="auto"/>
        <w:right w:val="none" w:sz="0" w:space="0" w:color="auto"/>
      </w:divBdr>
    </w:div>
    <w:div w:id="1046568894">
      <w:bodyDiv w:val="1"/>
      <w:marLeft w:val="0"/>
      <w:marRight w:val="0"/>
      <w:marTop w:val="0"/>
      <w:marBottom w:val="0"/>
      <w:divBdr>
        <w:top w:val="none" w:sz="0" w:space="0" w:color="auto"/>
        <w:left w:val="none" w:sz="0" w:space="0" w:color="auto"/>
        <w:bottom w:val="none" w:sz="0" w:space="0" w:color="auto"/>
        <w:right w:val="none" w:sz="0" w:space="0" w:color="auto"/>
      </w:divBdr>
      <w:divsChild>
        <w:div w:id="1663967936">
          <w:marLeft w:val="480"/>
          <w:marRight w:val="0"/>
          <w:marTop w:val="0"/>
          <w:marBottom w:val="0"/>
          <w:divBdr>
            <w:top w:val="none" w:sz="0" w:space="0" w:color="auto"/>
            <w:left w:val="none" w:sz="0" w:space="0" w:color="auto"/>
            <w:bottom w:val="none" w:sz="0" w:space="0" w:color="auto"/>
            <w:right w:val="none" w:sz="0" w:space="0" w:color="auto"/>
          </w:divBdr>
          <w:divsChild>
            <w:div w:id="19719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4502">
      <w:bodyDiv w:val="1"/>
      <w:marLeft w:val="0"/>
      <w:marRight w:val="0"/>
      <w:marTop w:val="0"/>
      <w:marBottom w:val="0"/>
      <w:divBdr>
        <w:top w:val="none" w:sz="0" w:space="0" w:color="auto"/>
        <w:left w:val="none" w:sz="0" w:space="0" w:color="auto"/>
        <w:bottom w:val="none" w:sz="0" w:space="0" w:color="auto"/>
        <w:right w:val="none" w:sz="0" w:space="0" w:color="auto"/>
      </w:divBdr>
    </w:div>
    <w:div w:id="1149201944">
      <w:bodyDiv w:val="1"/>
      <w:marLeft w:val="0"/>
      <w:marRight w:val="0"/>
      <w:marTop w:val="0"/>
      <w:marBottom w:val="0"/>
      <w:divBdr>
        <w:top w:val="none" w:sz="0" w:space="0" w:color="auto"/>
        <w:left w:val="none" w:sz="0" w:space="0" w:color="auto"/>
        <w:bottom w:val="none" w:sz="0" w:space="0" w:color="auto"/>
        <w:right w:val="none" w:sz="0" w:space="0" w:color="auto"/>
      </w:divBdr>
    </w:div>
    <w:div w:id="1229153334">
      <w:bodyDiv w:val="1"/>
      <w:marLeft w:val="0"/>
      <w:marRight w:val="0"/>
      <w:marTop w:val="0"/>
      <w:marBottom w:val="0"/>
      <w:divBdr>
        <w:top w:val="none" w:sz="0" w:space="0" w:color="auto"/>
        <w:left w:val="none" w:sz="0" w:space="0" w:color="auto"/>
        <w:bottom w:val="none" w:sz="0" w:space="0" w:color="auto"/>
        <w:right w:val="none" w:sz="0" w:space="0" w:color="auto"/>
      </w:divBdr>
    </w:div>
    <w:div w:id="1367868878">
      <w:bodyDiv w:val="1"/>
      <w:marLeft w:val="0"/>
      <w:marRight w:val="0"/>
      <w:marTop w:val="0"/>
      <w:marBottom w:val="0"/>
      <w:divBdr>
        <w:top w:val="none" w:sz="0" w:space="0" w:color="auto"/>
        <w:left w:val="none" w:sz="0" w:space="0" w:color="auto"/>
        <w:bottom w:val="none" w:sz="0" w:space="0" w:color="auto"/>
        <w:right w:val="none" w:sz="0" w:space="0" w:color="auto"/>
      </w:divBdr>
      <w:divsChild>
        <w:div w:id="1015424251">
          <w:marLeft w:val="480"/>
          <w:marRight w:val="0"/>
          <w:marTop w:val="0"/>
          <w:marBottom w:val="0"/>
          <w:divBdr>
            <w:top w:val="none" w:sz="0" w:space="0" w:color="auto"/>
            <w:left w:val="none" w:sz="0" w:space="0" w:color="auto"/>
            <w:bottom w:val="none" w:sz="0" w:space="0" w:color="auto"/>
            <w:right w:val="none" w:sz="0" w:space="0" w:color="auto"/>
          </w:divBdr>
          <w:divsChild>
            <w:div w:id="5252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2101">
      <w:bodyDiv w:val="1"/>
      <w:marLeft w:val="0"/>
      <w:marRight w:val="0"/>
      <w:marTop w:val="0"/>
      <w:marBottom w:val="0"/>
      <w:divBdr>
        <w:top w:val="none" w:sz="0" w:space="0" w:color="auto"/>
        <w:left w:val="none" w:sz="0" w:space="0" w:color="auto"/>
        <w:bottom w:val="none" w:sz="0" w:space="0" w:color="auto"/>
        <w:right w:val="none" w:sz="0" w:space="0" w:color="auto"/>
      </w:divBdr>
    </w:div>
    <w:div w:id="1517622318">
      <w:bodyDiv w:val="1"/>
      <w:marLeft w:val="0"/>
      <w:marRight w:val="0"/>
      <w:marTop w:val="0"/>
      <w:marBottom w:val="0"/>
      <w:divBdr>
        <w:top w:val="none" w:sz="0" w:space="0" w:color="auto"/>
        <w:left w:val="none" w:sz="0" w:space="0" w:color="auto"/>
        <w:bottom w:val="none" w:sz="0" w:space="0" w:color="auto"/>
        <w:right w:val="none" w:sz="0" w:space="0" w:color="auto"/>
      </w:divBdr>
    </w:div>
    <w:div w:id="1771586148">
      <w:bodyDiv w:val="1"/>
      <w:marLeft w:val="0"/>
      <w:marRight w:val="0"/>
      <w:marTop w:val="0"/>
      <w:marBottom w:val="0"/>
      <w:divBdr>
        <w:top w:val="none" w:sz="0" w:space="0" w:color="auto"/>
        <w:left w:val="none" w:sz="0" w:space="0" w:color="auto"/>
        <w:bottom w:val="none" w:sz="0" w:space="0" w:color="auto"/>
        <w:right w:val="none" w:sz="0" w:space="0" w:color="auto"/>
      </w:divBdr>
      <w:divsChild>
        <w:div w:id="1758482697">
          <w:marLeft w:val="480"/>
          <w:marRight w:val="0"/>
          <w:marTop w:val="0"/>
          <w:marBottom w:val="0"/>
          <w:divBdr>
            <w:top w:val="none" w:sz="0" w:space="0" w:color="auto"/>
            <w:left w:val="none" w:sz="0" w:space="0" w:color="auto"/>
            <w:bottom w:val="none" w:sz="0" w:space="0" w:color="auto"/>
            <w:right w:val="none" w:sz="0" w:space="0" w:color="auto"/>
          </w:divBdr>
          <w:divsChild>
            <w:div w:id="18008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6771">
      <w:bodyDiv w:val="1"/>
      <w:marLeft w:val="0"/>
      <w:marRight w:val="0"/>
      <w:marTop w:val="0"/>
      <w:marBottom w:val="0"/>
      <w:divBdr>
        <w:top w:val="none" w:sz="0" w:space="0" w:color="auto"/>
        <w:left w:val="none" w:sz="0" w:space="0" w:color="auto"/>
        <w:bottom w:val="none" w:sz="0" w:space="0" w:color="auto"/>
        <w:right w:val="none" w:sz="0" w:space="0" w:color="auto"/>
      </w:divBdr>
      <w:divsChild>
        <w:div w:id="1488671045">
          <w:marLeft w:val="480"/>
          <w:marRight w:val="0"/>
          <w:marTop w:val="0"/>
          <w:marBottom w:val="0"/>
          <w:divBdr>
            <w:top w:val="none" w:sz="0" w:space="0" w:color="auto"/>
            <w:left w:val="none" w:sz="0" w:space="0" w:color="auto"/>
            <w:bottom w:val="none" w:sz="0" w:space="0" w:color="auto"/>
            <w:right w:val="none" w:sz="0" w:space="0" w:color="auto"/>
          </w:divBdr>
          <w:divsChild>
            <w:div w:id="6197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587">
      <w:bodyDiv w:val="1"/>
      <w:marLeft w:val="0"/>
      <w:marRight w:val="0"/>
      <w:marTop w:val="0"/>
      <w:marBottom w:val="0"/>
      <w:divBdr>
        <w:top w:val="none" w:sz="0" w:space="0" w:color="auto"/>
        <w:left w:val="none" w:sz="0" w:space="0" w:color="auto"/>
        <w:bottom w:val="none" w:sz="0" w:space="0" w:color="auto"/>
        <w:right w:val="none" w:sz="0" w:space="0" w:color="auto"/>
      </w:divBdr>
      <w:divsChild>
        <w:div w:id="1904948234">
          <w:marLeft w:val="480"/>
          <w:marRight w:val="0"/>
          <w:marTop w:val="0"/>
          <w:marBottom w:val="0"/>
          <w:divBdr>
            <w:top w:val="none" w:sz="0" w:space="0" w:color="auto"/>
            <w:left w:val="none" w:sz="0" w:space="0" w:color="auto"/>
            <w:bottom w:val="none" w:sz="0" w:space="0" w:color="auto"/>
            <w:right w:val="none" w:sz="0" w:space="0" w:color="auto"/>
          </w:divBdr>
          <w:divsChild>
            <w:div w:id="391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488">
      <w:bodyDiv w:val="1"/>
      <w:marLeft w:val="0"/>
      <w:marRight w:val="0"/>
      <w:marTop w:val="0"/>
      <w:marBottom w:val="0"/>
      <w:divBdr>
        <w:top w:val="none" w:sz="0" w:space="0" w:color="auto"/>
        <w:left w:val="none" w:sz="0" w:space="0" w:color="auto"/>
        <w:bottom w:val="none" w:sz="0" w:space="0" w:color="auto"/>
        <w:right w:val="none" w:sz="0" w:space="0" w:color="auto"/>
      </w:divBdr>
      <w:divsChild>
        <w:div w:id="1349723465">
          <w:marLeft w:val="480"/>
          <w:marRight w:val="0"/>
          <w:marTop w:val="0"/>
          <w:marBottom w:val="0"/>
          <w:divBdr>
            <w:top w:val="none" w:sz="0" w:space="0" w:color="auto"/>
            <w:left w:val="none" w:sz="0" w:space="0" w:color="auto"/>
            <w:bottom w:val="none" w:sz="0" w:space="0" w:color="auto"/>
            <w:right w:val="none" w:sz="0" w:space="0" w:color="auto"/>
          </w:divBdr>
          <w:divsChild>
            <w:div w:id="20480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tl.utexas.edu/5-things-know-about-chatgpt" TargetMode="External"/><Relationship Id="rId18" Type="http://schemas.openxmlformats.org/officeDocument/2006/relationships/hyperlink" Target="https://doi.org/10.1145/3173574.3173609" TargetMode="External"/><Relationship Id="rId26" Type="http://schemas.openxmlformats.org/officeDocument/2006/relationships/hyperlink" Target="http://diversity.utexas.edu/disability/" TargetMode="External"/><Relationship Id="rId39" Type="http://schemas.openxmlformats.org/officeDocument/2006/relationships/theme" Target="theme/theme1.xml"/><Relationship Id="rId21" Type="http://schemas.openxmlformats.org/officeDocument/2006/relationships/hyperlink" Target="https://catalog.utexas.edu/general-information/academic-policies-and-procedures/attendance/" TargetMode="External"/><Relationship Id="rId34" Type="http://schemas.openxmlformats.org/officeDocument/2006/relationships/hyperlink" Target="mailto:titleix@austin.utexas.edu" TargetMode="External"/><Relationship Id="rId7" Type="http://schemas.openxmlformats.org/officeDocument/2006/relationships/footnotes" Target="footnotes.xml"/><Relationship Id="rId12" Type="http://schemas.openxmlformats.org/officeDocument/2006/relationships/hyperlink" Target="https://www.ischool.utexas.edu/handbooks/doctoral-program-handbook-current.pdf" TargetMode="External"/><Relationship Id="rId17" Type="http://schemas.openxmlformats.org/officeDocument/2006/relationships/hyperlink" Target="https://nam12.safelinks.protection.outlook.com/?url=https%3A%2F%2Fdoi.org%2F10.1002%2Fasi.23833&amp;data=05%7C01%7C%7C94421e027e42498171be08da7ed3ecab%7C31d7e2a5bdd8414e9e97bea998ebdfe1%7C0%7C0%7C637961745920614904%7CUnknown%7CTWFpbGZsb3d8eyJWIjoiMC4wLjAwMDAiLCJQIjoiV2luMzIiLCJBTiI6Ik1haWwiLCJXVCI6Mn0%3D%7C3000%7C%7C%7C&amp;sdata=tfOhGqMcVOwDrO08paabcfGYxIqbbhZMMxRJhSW9RJI%3D&amp;reserved=0" TargetMode="External"/><Relationship Id="rId25" Type="http://schemas.openxmlformats.org/officeDocument/2006/relationships/hyperlink" Target="https://utexas.instructure.com/enroll/TP964H" TargetMode="External"/><Relationship Id="rId33" Type="http://schemas.openxmlformats.org/officeDocument/2006/relationships/hyperlink" Target="https://titleix.utexas.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12.safelinks.protection.outlook.com/?url=https%3A%2F%2Fdoi.org%2F10.1177%2F0306312716659373&amp;data=05%7C01%7C%7C94421e027e42498171be08da7ed3ecab%7C31d7e2a5bdd8414e9e97bea998ebdfe1%7C0%7C0%7C637961745920614904%7CUnknown%7CTWFpbGZsb3d8eyJWIjoiMC4wLjAwMDAiLCJQIjoiV2luMzIiLCJBTiI6Ik1haWwiLCJXVCI6Mn0%3D%7C3000%7C%7C%7C&amp;sdata=sxYq58qSqtu5Nvk%2BWek8Q1upzSSYiRF9la0ropWMyyQ%3D&amp;reserved=0" TargetMode="External"/><Relationship Id="rId20" Type="http://schemas.openxmlformats.org/officeDocument/2006/relationships/hyperlink" Target="https://deanofstudents.utexas.edu/" TargetMode="External"/><Relationship Id="rId29" Type="http://schemas.openxmlformats.org/officeDocument/2006/relationships/hyperlink" Target="http://deanofstudents.utexas.edu/emergen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dschool.utexas.edu/academics/theses-and-dissertations/doctoral-candidacy/copyright-tutorial" TargetMode="External"/><Relationship Id="rId24" Type="http://schemas.openxmlformats.org/officeDocument/2006/relationships/hyperlink" Target="https://nam12.safelinks.protection.outlook.com/?url=https%3A%2F%2Futexas.instructure.com%2Fenroll%2FTP964H&amp;data=05%7C01%7C%7C951506fbb51b42644f2a08db9abbe9e4%7C31d7e2a5bdd8414e9e97bea998ebdfe1%7C0%7C0%7C638273904988717238%7CUnknown%7CTWFpbGZsb3d8eyJWIjoiMC4wLjAwMDAiLCJQIjoiV2luMzIiLCJBTiI6Ik1haWwiLCJXVCI6Mn0%3D%7C3000%7C%7C%7C&amp;sdata=cvrVxYS%2BjaTiXWaVIqTkXjI8hOQz8GqWBKi2%2Bh0unGw%3D&amp;reserved=0" TargetMode="External"/><Relationship Id="rId32" Type="http://schemas.openxmlformats.org/officeDocument/2006/relationships/hyperlink" Target="mailto:advocate@austin.utexas.edu"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1002/asi.21619" TargetMode="External"/><Relationship Id="rId23" Type="http://schemas.openxmlformats.org/officeDocument/2006/relationships/hyperlink" Target="https://utexas.instructure.com/courses/633028/pages/profile-pronouns" TargetMode="External"/><Relationship Id="rId28" Type="http://schemas.openxmlformats.org/officeDocument/2006/relationships/hyperlink" Target="https://ugs.utexas.edu/slc" TargetMode="External"/><Relationship Id="rId36" Type="http://schemas.openxmlformats.org/officeDocument/2006/relationships/hyperlink" Target="https://preparedness.utexas.edu/" TargetMode="External"/><Relationship Id="rId10" Type="http://schemas.openxmlformats.org/officeDocument/2006/relationships/hyperlink" Target="https://catalog.utexas.edu/general-information/appendices/appendix-c/student-conduct-and-academic-integrity/" TargetMode="External"/><Relationship Id="rId19" Type="http://schemas.openxmlformats.org/officeDocument/2006/relationships/hyperlink" Target="http://deanofstudents.utexas.edu/conduct" TargetMode="External"/><Relationship Id="rId31" Type="http://schemas.openxmlformats.org/officeDocument/2006/relationships/hyperlink" Target="https://titleix.utexas.edu/policies" TargetMode="External"/><Relationship Id="rId4" Type="http://schemas.openxmlformats.org/officeDocument/2006/relationships/styles" Target="styles.xml"/><Relationship Id="rId9" Type="http://schemas.openxmlformats.org/officeDocument/2006/relationships/hyperlink" Target="mailto:yanz@utexas.edu" TargetMode="External"/><Relationship Id="rId14" Type="http://schemas.openxmlformats.org/officeDocument/2006/relationships/hyperlink" Target="https://dl.acm.org/doi/abs/10.1145/1487632.1487636" TargetMode="External"/><Relationship Id="rId22" Type="http://schemas.openxmlformats.org/officeDocument/2006/relationships/hyperlink" Target="http://diversity.utexas.edu/genderandsexuality/publications-and-resources/" TargetMode="External"/><Relationship Id="rId27" Type="http://schemas.openxmlformats.org/officeDocument/2006/relationships/hyperlink" Target="https://cmhc.utexas.edu/index.html" TargetMode="External"/><Relationship Id="rId30" Type="http://schemas.openxmlformats.org/officeDocument/2006/relationships/hyperlink" Target="http://deanofstudents.utexas.edu/emergency/" TargetMode="External"/><Relationship Id="rId35" Type="http://schemas.openxmlformats.org/officeDocument/2006/relationships/hyperlink" Target="https://financials.utexas.edu/about/leadership/avp-campus-safet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4D1DA-7A1F-494C-82F1-E456DEDC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4493</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Zhang</dc:creator>
  <cp:keywords/>
  <dc:description/>
  <cp:lastModifiedBy>Zhang, Yan</cp:lastModifiedBy>
  <cp:revision>27</cp:revision>
  <cp:lastPrinted>2021-09-22T02:17:00Z</cp:lastPrinted>
  <dcterms:created xsi:type="dcterms:W3CDTF">2024-07-21T18:28:00Z</dcterms:created>
  <dcterms:modified xsi:type="dcterms:W3CDTF">2024-08-04T14:10:00Z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